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A62" w:rsidRPr="008D6A62" w:rsidRDefault="005629D0" w:rsidP="00D028AA">
      <w:pPr>
        <w:ind w:left="-1170"/>
        <w:jc w:val="center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1818204B" wp14:editId="709B95E4">
            <wp:extent cx="5580380" cy="66630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66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075" w:type="dxa"/>
        <w:tblInd w:w="-1170" w:type="dxa"/>
        <w:shd w:val="clear" w:color="auto" w:fill="33CCCC"/>
        <w:tblLook w:val="04A0" w:firstRow="1" w:lastRow="0" w:firstColumn="1" w:lastColumn="0" w:noHBand="0" w:noVBand="1"/>
      </w:tblPr>
      <w:tblGrid>
        <w:gridCol w:w="10075"/>
      </w:tblGrid>
      <w:tr w:rsidR="008D6A62" w:rsidRPr="008D6A62" w:rsidTr="00EB3284">
        <w:trPr>
          <w:trHeight w:val="476"/>
        </w:trPr>
        <w:tc>
          <w:tcPr>
            <w:tcW w:w="1007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33CCCC"/>
            <w:vAlign w:val="center"/>
          </w:tcPr>
          <w:p w:rsidR="008D6A62" w:rsidRPr="008D6A62" w:rsidRDefault="005629D0" w:rsidP="00EB3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CURRICULUM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 xml:space="preserve"> VITAE </w:t>
            </w:r>
          </w:p>
        </w:tc>
      </w:tr>
    </w:tbl>
    <w:p w:rsidR="008D6A62" w:rsidRPr="008D6A62" w:rsidRDefault="008D6A62" w:rsidP="008D6A62">
      <w:pPr>
        <w:ind w:left="-1170"/>
        <w:rPr>
          <w:rFonts w:ascii="Arial" w:hAnsi="Arial" w:cs="Arial"/>
          <w:szCs w:val="24"/>
        </w:rPr>
      </w:pPr>
    </w:p>
    <w:tbl>
      <w:tblPr>
        <w:tblStyle w:val="TableGrid"/>
        <w:tblW w:w="9990" w:type="dxa"/>
        <w:tblInd w:w="-10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"/>
        <w:gridCol w:w="2873"/>
        <w:gridCol w:w="517"/>
        <w:gridCol w:w="2785"/>
        <w:gridCol w:w="3195"/>
      </w:tblGrid>
      <w:tr w:rsidR="00410C64" w:rsidRPr="00606B1E" w:rsidTr="00967CC6">
        <w:trPr>
          <w:trHeight w:val="665"/>
        </w:trPr>
        <w:tc>
          <w:tcPr>
            <w:tcW w:w="6784" w:type="dxa"/>
            <w:gridSpan w:val="4"/>
            <w:vAlign w:val="center"/>
          </w:tcPr>
          <w:p w:rsidR="00410C64" w:rsidRPr="00606B1E" w:rsidRDefault="00967CC6" w:rsidP="00967CC6">
            <w:pPr>
              <w:spacing w:before="0" w:after="0" w:line="276" w:lineRule="auto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color w:val="222A35" w:themeColor="text2" w:themeShade="80"/>
                <w:sz w:val="22"/>
              </w:rPr>
              <w:t>HEW R. DUNDAS</w:t>
            </w:r>
          </w:p>
        </w:tc>
        <w:tc>
          <w:tcPr>
            <w:tcW w:w="3206" w:type="dxa"/>
            <w:vMerge w:val="restart"/>
            <w:vAlign w:val="center"/>
          </w:tcPr>
          <w:p w:rsidR="00410C64" w:rsidRPr="00606B1E" w:rsidRDefault="00967CC6" w:rsidP="00C648A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3D2AFE8" wp14:editId="54B34666">
                  <wp:extent cx="1785500" cy="2529403"/>
                  <wp:effectExtent l="0" t="0" r="5715" b="4445"/>
                  <wp:docPr id="2" name="Picture 2" descr="Káº¿t quáº£ hÃ¬nh áº£nh cho HEW R. DUN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áº¿t quáº£ hÃ¬nh áº£nh cho HEW R. DUN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950" cy="2531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C64" w:rsidRPr="00606B1E" w:rsidTr="00967CC6">
        <w:tc>
          <w:tcPr>
            <w:tcW w:w="625" w:type="dxa"/>
            <w:vAlign w:val="center"/>
          </w:tcPr>
          <w:p w:rsidR="00410C64" w:rsidRPr="00606B1E" w:rsidRDefault="00410C64" w:rsidP="0030301B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CA09F34" wp14:editId="39087A2A">
                  <wp:extent cx="178194" cy="180753"/>
                  <wp:effectExtent l="0" t="0" r="0" b="0"/>
                  <wp:docPr id="13" name="Picture 13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96" cy="184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9" w:type="dxa"/>
            <w:gridSpan w:val="3"/>
            <w:vAlign w:val="center"/>
          </w:tcPr>
          <w:p w:rsidR="00410C64" w:rsidRPr="00967CC6" w:rsidRDefault="005629D0" w:rsidP="00E92E5D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birth</w:t>
            </w:r>
            <w:r w:rsidR="00967CC6">
              <w:rPr>
                <w:rFonts w:ascii="Arial" w:hAnsi="Arial" w:cs="Arial"/>
                <w:sz w:val="22"/>
              </w:rPr>
              <w:t>: 4</w:t>
            </w:r>
            <w:r w:rsidR="00967CC6">
              <w:rPr>
                <w:rFonts w:ascii="Arial" w:hAnsi="Arial" w:cs="Arial"/>
                <w:sz w:val="22"/>
                <w:vertAlign w:val="superscript"/>
              </w:rPr>
              <w:t xml:space="preserve">th </w:t>
            </w:r>
            <w:r w:rsidR="00967CC6">
              <w:rPr>
                <w:rFonts w:ascii="Arial" w:hAnsi="Arial" w:cs="Arial"/>
                <w:sz w:val="22"/>
              </w:rPr>
              <w:t>August 1953</w:t>
            </w:r>
          </w:p>
        </w:tc>
        <w:tc>
          <w:tcPr>
            <w:tcW w:w="3206" w:type="dxa"/>
            <w:vMerge/>
            <w:vAlign w:val="center"/>
          </w:tcPr>
          <w:p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:rsidTr="00967CC6">
        <w:tc>
          <w:tcPr>
            <w:tcW w:w="625" w:type="dxa"/>
            <w:vAlign w:val="center"/>
          </w:tcPr>
          <w:p w:rsidR="00410C64" w:rsidRPr="00606B1E" w:rsidRDefault="00410C64" w:rsidP="00E92E5D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54362DE" wp14:editId="5534AEAC">
                  <wp:extent cx="182880" cy="182880"/>
                  <wp:effectExtent l="0" t="0" r="7620" b="7620"/>
                  <wp:docPr id="4" name="Picture 4" descr="Kết quả hình ảnh cho lugg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ết quả hình ảnh cho lugg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75" cy="19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9" w:type="dxa"/>
            <w:gridSpan w:val="3"/>
            <w:vAlign w:val="center"/>
          </w:tcPr>
          <w:p w:rsidR="00410C64" w:rsidRPr="00EE2AF5" w:rsidRDefault="007B4F84" w:rsidP="007B4F84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EE2AF5">
              <w:rPr>
                <w:rFonts w:ascii="Arial" w:hAnsi="Arial" w:cs="Arial"/>
                <w:sz w:val="22"/>
              </w:rPr>
              <w:t>Chartered Arbitrator, CEDR-Accredited Mediator and Expert Determiner in practice full-time as Sole Practitioner in Private Dispute Resolution;</w:t>
            </w:r>
          </w:p>
        </w:tc>
        <w:tc>
          <w:tcPr>
            <w:tcW w:w="3206" w:type="dxa"/>
            <w:vMerge/>
            <w:vAlign w:val="center"/>
          </w:tcPr>
          <w:p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:rsidTr="00967CC6">
        <w:tc>
          <w:tcPr>
            <w:tcW w:w="625" w:type="dxa"/>
            <w:vAlign w:val="center"/>
          </w:tcPr>
          <w:p w:rsidR="00410C64" w:rsidRPr="00606B1E" w:rsidRDefault="00410C64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11DD606" wp14:editId="50A88057">
                  <wp:extent cx="160934" cy="160934"/>
                  <wp:effectExtent l="0" t="0" r="0" b="0"/>
                  <wp:docPr id="5" name="Picture 5" descr="Kết quả hình ảnh cho addres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ết quả hình ảnh cho addres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3" cy="16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9" w:type="dxa"/>
            <w:gridSpan w:val="3"/>
            <w:vAlign w:val="center"/>
          </w:tcPr>
          <w:p w:rsidR="00410C64" w:rsidRPr="00EE2AF5" w:rsidRDefault="00E043D5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EE2AF5">
              <w:rPr>
                <w:rFonts w:ascii="Arial" w:hAnsi="Arial" w:cs="Arial"/>
                <w:sz w:val="22"/>
              </w:rPr>
              <w:t>1 St Colme Street, Edinburgh EH3 6AA UK</w:t>
            </w:r>
          </w:p>
        </w:tc>
        <w:tc>
          <w:tcPr>
            <w:tcW w:w="3206" w:type="dxa"/>
            <w:vMerge/>
            <w:vAlign w:val="center"/>
          </w:tcPr>
          <w:p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E043D5" w:rsidRPr="00606B1E" w:rsidTr="007B4F84">
        <w:tc>
          <w:tcPr>
            <w:tcW w:w="625" w:type="dxa"/>
            <w:vAlign w:val="center"/>
          </w:tcPr>
          <w:p w:rsidR="00410C64" w:rsidRPr="00606B1E" w:rsidRDefault="00410C64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D9DB1E8" wp14:editId="25BF02BA">
                  <wp:extent cx="175286" cy="175286"/>
                  <wp:effectExtent l="0" t="0" r="0" b="0"/>
                  <wp:docPr id="7" name="Picture 7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05" cy="17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5" w:type="dxa"/>
            <w:vAlign w:val="center"/>
          </w:tcPr>
          <w:p w:rsidR="00410C64" w:rsidRPr="00EE2AF5" w:rsidRDefault="00E043D5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EE2AF5">
              <w:rPr>
                <w:rFonts w:ascii="Arial" w:hAnsi="Arial" w:cs="Arial"/>
                <w:sz w:val="22"/>
              </w:rPr>
              <w:t>+44(0(7778-406457</w:t>
            </w:r>
            <w:r w:rsidR="005629D0" w:rsidRPr="00EE2A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10C64" w:rsidRPr="00EE2AF5" w:rsidRDefault="00410C64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EE2AF5">
              <w:rPr>
                <w:noProof/>
              </w:rPr>
              <w:drawing>
                <wp:inline distT="0" distB="0" distL="0" distR="0" wp14:anchorId="2BD84D59" wp14:editId="241C1684">
                  <wp:extent cx="191415" cy="191415"/>
                  <wp:effectExtent l="0" t="0" r="0" b="0"/>
                  <wp:docPr id="8" name="Picture 8" descr="Kết quả hình ảnh cho fax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ết quả hình ảnh cho fax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21" cy="200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vAlign w:val="center"/>
          </w:tcPr>
          <w:p w:rsidR="00410C64" w:rsidRPr="00EE2AF5" w:rsidRDefault="00E043D5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EE2AF5">
              <w:rPr>
                <w:rFonts w:ascii="Arial" w:hAnsi="Arial" w:cs="Arial"/>
                <w:sz w:val="22"/>
              </w:rPr>
              <w:t>+44(0)131-346-4154</w:t>
            </w:r>
          </w:p>
        </w:tc>
        <w:tc>
          <w:tcPr>
            <w:tcW w:w="3206" w:type="dxa"/>
            <w:vMerge/>
            <w:vAlign w:val="center"/>
          </w:tcPr>
          <w:p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:rsidTr="00967CC6">
        <w:tc>
          <w:tcPr>
            <w:tcW w:w="625" w:type="dxa"/>
            <w:vAlign w:val="center"/>
          </w:tcPr>
          <w:p w:rsidR="00410C64" w:rsidRPr="00606B1E" w:rsidRDefault="00410C64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A3B910C" wp14:editId="2A382618">
                  <wp:extent cx="213360" cy="213360"/>
                  <wp:effectExtent l="0" t="0" r="0" b="0"/>
                  <wp:docPr id="9" name="Picture 9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9" w:type="dxa"/>
            <w:gridSpan w:val="3"/>
            <w:vAlign w:val="center"/>
          </w:tcPr>
          <w:p w:rsidR="00410C64" w:rsidRPr="00EE2AF5" w:rsidRDefault="00E043D5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EE2AF5">
              <w:rPr>
                <w:rFonts w:ascii="Arial" w:hAnsi="Arial" w:cs="Arial"/>
                <w:sz w:val="22"/>
              </w:rPr>
              <w:t>dundas.energy@btinternet.com</w:t>
            </w:r>
          </w:p>
        </w:tc>
        <w:tc>
          <w:tcPr>
            <w:tcW w:w="3206" w:type="dxa"/>
            <w:vMerge/>
            <w:vAlign w:val="center"/>
          </w:tcPr>
          <w:p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:rsidTr="00967CC6">
        <w:trPr>
          <w:trHeight w:val="557"/>
        </w:trPr>
        <w:tc>
          <w:tcPr>
            <w:tcW w:w="625" w:type="dxa"/>
            <w:vAlign w:val="center"/>
          </w:tcPr>
          <w:p w:rsidR="00410C64" w:rsidRPr="00606B1E" w:rsidRDefault="008F35C5" w:rsidP="00E92E5D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71A2B0E" wp14:editId="51F284BD">
                  <wp:extent cx="170121" cy="170121"/>
                  <wp:effectExtent l="0" t="0" r="1905" b="1905"/>
                  <wp:docPr id="15" name="Picture 15" descr="Káº¿t quáº£ hÃ¬nh áº£nh cho specializ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áº¿t quáº£ hÃ¬nh áº£nh cho specializ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17" cy="17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9" w:type="dxa"/>
            <w:gridSpan w:val="3"/>
            <w:vAlign w:val="center"/>
          </w:tcPr>
          <w:p w:rsidR="00410C64" w:rsidRPr="00EE2AF5" w:rsidRDefault="00E043D5" w:rsidP="005629D0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EE2AF5">
              <w:rPr>
                <w:rFonts w:ascii="Arial" w:hAnsi="Arial" w:cs="Arial"/>
                <w:sz w:val="22"/>
              </w:rPr>
              <w:t>Arbitration, Mediation &amp; Expert Determination</w:t>
            </w:r>
          </w:p>
        </w:tc>
        <w:tc>
          <w:tcPr>
            <w:tcW w:w="3206" w:type="dxa"/>
            <w:vMerge/>
            <w:vAlign w:val="center"/>
          </w:tcPr>
          <w:p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:rsidTr="00967CC6">
        <w:trPr>
          <w:trHeight w:val="557"/>
        </w:trPr>
        <w:tc>
          <w:tcPr>
            <w:tcW w:w="625" w:type="dxa"/>
            <w:vAlign w:val="center"/>
          </w:tcPr>
          <w:p w:rsidR="00410C64" w:rsidRDefault="00410C64" w:rsidP="00E92E5D">
            <w:pPr>
              <w:spacing w:line="276" w:lineRule="auto"/>
              <w:ind w:right="2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DB1987" wp14:editId="736F4C32">
                  <wp:extent cx="160934" cy="160934"/>
                  <wp:effectExtent l="0" t="0" r="0" b="0"/>
                  <wp:docPr id="10" name="Picture 10" descr="Kết quả hình ảnh cho langu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ết quả hình ảnh cho langu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29" cy="16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9" w:type="dxa"/>
            <w:gridSpan w:val="3"/>
            <w:vAlign w:val="center"/>
          </w:tcPr>
          <w:p w:rsidR="00410C64" w:rsidRPr="00EE2AF5" w:rsidRDefault="00E043D5" w:rsidP="00E92E5D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EE2AF5">
              <w:rPr>
                <w:rFonts w:ascii="Arial" w:hAnsi="Arial" w:cs="Arial"/>
                <w:sz w:val="22"/>
              </w:rPr>
              <w:t>English only</w:t>
            </w:r>
          </w:p>
        </w:tc>
        <w:tc>
          <w:tcPr>
            <w:tcW w:w="3206" w:type="dxa"/>
            <w:vMerge/>
            <w:vAlign w:val="center"/>
          </w:tcPr>
          <w:p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AC2EAF" w:rsidRPr="00606B1E" w:rsidTr="008C34DB">
        <w:tc>
          <w:tcPr>
            <w:tcW w:w="9990" w:type="dxa"/>
            <w:gridSpan w:val="5"/>
            <w:shd w:val="clear" w:color="auto" w:fill="D9D9D9" w:themeFill="background1" w:themeFillShade="D9"/>
          </w:tcPr>
          <w:p w:rsidR="00AC2EAF" w:rsidRPr="00606B1E" w:rsidRDefault="00967CC6" w:rsidP="00410C64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October 1998 to present</w:t>
            </w:r>
          </w:p>
        </w:tc>
      </w:tr>
      <w:tr w:rsidR="00967CC6" w:rsidRPr="00606B1E" w:rsidTr="00BB2370">
        <w:tc>
          <w:tcPr>
            <w:tcW w:w="9990" w:type="dxa"/>
            <w:gridSpan w:val="5"/>
          </w:tcPr>
          <w:p w:rsidR="00967CC6" w:rsidRPr="00967CC6" w:rsidRDefault="00967CC6" w:rsidP="00967CC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967CC6">
              <w:rPr>
                <w:rFonts w:ascii="Arial" w:hAnsi="Arial" w:cs="Arial"/>
                <w:sz w:val="22"/>
              </w:rPr>
              <w:t>Chartered Arbitrator, CEDR-Accredited Mediator and Expert Determiner in practice full-time as Sole</w:t>
            </w:r>
          </w:p>
          <w:p w:rsidR="00967CC6" w:rsidRPr="00606B1E" w:rsidRDefault="00967CC6" w:rsidP="00967CC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967CC6">
              <w:rPr>
                <w:rFonts w:ascii="Arial" w:hAnsi="Arial" w:cs="Arial"/>
                <w:sz w:val="22"/>
              </w:rPr>
              <w:t>Practitioner in Private Dispute Resolution;</w:t>
            </w:r>
          </w:p>
        </w:tc>
      </w:tr>
      <w:tr w:rsidR="00967CC6" w:rsidRPr="00606B1E" w:rsidTr="004F4C09">
        <w:tc>
          <w:tcPr>
            <w:tcW w:w="9990" w:type="dxa"/>
            <w:gridSpan w:val="5"/>
          </w:tcPr>
          <w:p w:rsidR="00967CC6" w:rsidRPr="00606B1E" w:rsidRDefault="00967CC6" w:rsidP="00967CC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</w:t>
            </w:r>
            <w:r w:rsidRPr="00967CC6">
              <w:rPr>
                <w:rFonts w:ascii="Arial" w:hAnsi="Arial" w:cs="Arial"/>
                <w:sz w:val="22"/>
              </w:rPr>
              <w:t>rom 1998-2001 also practised as Dundas Energy Services providing speciali</w:t>
            </w:r>
            <w:r>
              <w:rPr>
                <w:rFonts w:ascii="Arial" w:hAnsi="Arial" w:cs="Arial"/>
                <w:sz w:val="22"/>
              </w:rPr>
              <w:t xml:space="preserve">st oil &amp; gas industry and other </w:t>
            </w:r>
            <w:r w:rsidRPr="00967CC6">
              <w:rPr>
                <w:rFonts w:ascii="Arial" w:hAnsi="Arial" w:cs="Arial"/>
                <w:sz w:val="22"/>
              </w:rPr>
              <w:t xml:space="preserve">expertise derived from a 30+-year oil &amp; gas industry career; also provision </w:t>
            </w:r>
            <w:r>
              <w:rPr>
                <w:rFonts w:ascii="Arial" w:hAnsi="Arial" w:cs="Arial"/>
                <w:sz w:val="22"/>
              </w:rPr>
              <w:t xml:space="preserve">of outsource legal function for </w:t>
            </w:r>
            <w:r w:rsidRPr="00967CC6">
              <w:rPr>
                <w:rFonts w:ascii="Arial" w:hAnsi="Arial" w:cs="Arial"/>
                <w:sz w:val="22"/>
              </w:rPr>
              <w:t>smaller clients. Legal clients included E&amp;P companies, firms of Solicitors, Insurers etc</w:t>
            </w:r>
          </w:p>
        </w:tc>
      </w:tr>
      <w:tr w:rsidR="00CB7FC5" w:rsidRPr="00CB7FC5" w:rsidTr="00CB7FC5">
        <w:tc>
          <w:tcPr>
            <w:tcW w:w="9990" w:type="dxa"/>
            <w:gridSpan w:val="5"/>
            <w:shd w:val="clear" w:color="auto" w:fill="D9D9D9" w:themeFill="background1" w:themeFillShade="D9"/>
          </w:tcPr>
          <w:p w:rsidR="00CB7FC5" w:rsidRPr="00CB7FC5" w:rsidRDefault="00CB7FC5" w:rsidP="00967CC6">
            <w:pPr>
              <w:spacing w:line="276" w:lineRule="auto"/>
              <w:ind w:right="27"/>
              <w:rPr>
                <w:rFonts w:ascii="Arial" w:hAnsi="Arial" w:cs="Arial"/>
                <w:b/>
                <w:sz w:val="22"/>
                <w:u w:val="single"/>
              </w:rPr>
            </w:pPr>
            <w:r w:rsidRPr="00CB7FC5">
              <w:rPr>
                <w:rFonts w:ascii="Arial" w:hAnsi="Arial" w:cs="Arial"/>
                <w:b/>
                <w:sz w:val="22"/>
                <w:u w:val="single"/>
              </w:rPr>
              <w:t>General experience included</w:t>
            </w:r>
          </w:p>
        </w:tc>
      </w:tr>
      <w:tr w:rsidR="00CB7FC5" w:rsidRPr="00606B1E" w:rsidTr="004F4C09">
        <w:tc>
          <w:tcPr>
            <w:tcW w:w="9990" w:type="dxa"/>
            <w:gridSpan w:val="5"/>
          </w:tcPr>
          <w:p w:rsidR="00CB7FC5" w:rsidRPr="00CB7FC5" w:rsidRDefault="00CB7FC5" w:rsidP="00CB7FC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CB7FC5">
              <w:rPr>
                <w:rFonts w:ascii="Arial" w:hAnsi="Arial" w:cs="Arial"/>
                <w:sz w:val="22"/>
              </w:rPr>
              <w:t>cost engineering, estimating and cost control for design, procurement, fabrication and marine activities;</w:t>
            </w:r>
          </w:p>
          <w:p w:rsidR="00CB7FC5" w:rsidRPr="00CB7FC5" w:rsidRDefault="00CB7FC5" w:rsidP="00CB7FC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CB7FC5">
              <w:rPr>
                <w:rFonts w:ascii="Arial" w:hAnsi="Arial" w:cs="Arial"/>
                <w:sz w:val="22"/>
              </w:rPr>
              <w:t>contract formulation, bid evaluation, contract negotiation,</w:t>
            </w:r>
          </w:p>
          <w:p w:rsidR="00CB7FC5" w:rsidRPr="00CB7FC5" w:rsidRDefault="00CB7FC5" w:rsidP="00CB7FC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</w:t>
            </w:r>
            <w:r w:rsidRPr="00CB7FC5">
              <w:rPr>
                <w:rFonts w:ascii="Arial" w:hAnsi="Arial" w:cs="Arial"/>
                <w:sz w:val="22"/>
              </w:rPr>
              <w:t>ontract management and administration;</w:t>
            </w:r>
          </w:p>
          <w:p w:rsidR="00CB7FC5" w:rsidRPr="00CB7FC5" w:rsidRDefault="00CB7FC5" w:rsidP="00CB7FC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</w:t>
            </w:r>
            <w:r w:rsidRPr="00CB7FC5">
              <w:rPr>
                <w:rFonts w:ascii="Arial" w:hAnsi="Arial" w:cs="Arial"/>
                <w:sz w:val="22"/>
              </w:rPr>
              <w:t>ontrol of construction site activities, particularly of cost and financial aspects;</w:t>
            </w:r>
          </w:p>
          <w:p w:rsidR="00CB7FC5" w:rsidRPr="00CB7FC5" w:rsidRDefault="00CB7FC5" w:rsidP="00CB7FC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CB7FC5">
              <w:rPr>
                <w:rFonts w:ascii="Arial" w:hAnsi="Arial" w:cs="Arial"/>
                <w:sz w:val="22"/>
              </w:rPr>
              <w:t>materials control during both procurement and fabrication phases;</w:t>
            </w:r>
          </w:p>
          <w:p w:rsidR="00CB7FC5" w:rsidRDefault="00CB7FC5" w:rsidP="00CB7FC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CB7FC5">
              <w:rPr>
                <w:rFonts w:ascii="Arial" w:hAnsi="Arial" w:cs="Arial"/>
                <w:sz w:val="22"/>
              </w:rPr>
              <w:t>management advice in the fields of general finance, law and taxation.</w:t>
            </w:r>
          </w:p>
        </w:tc>
      </w:tr>
      <w:tr w:rsidR="00AC2EAF" w:rsidRPr="008C34DB" w:rsidTr="008C34DB">
        <w:trPr>
          <w:trHeight w:val="638"/>
        </w:trPr>
        <w:tc>
          <w:tcPr>
            <w:tcW w:w="9990" w:type="dxa"/>
            <w:gridSpan w:val="5"/>
            <w:shd w:val="clear" w:color="auto" w:fill="D9D9D9" w:themeFill="background1" w:themeFillShade="D9"/>
          </w:tcPr>
          <w:p w:rsidR="00AC2EAF" w:rsidRPr="008C34DB" w:rsidRDefault="00967CC6" w:rsidP="008C34DB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Arbitrator and Mediator</w:t>
            </w:r>
          </w:p>
        </w:tc>
      </w:tr>
      <w:tr w:rsidR="00967CC6" w:rsidRPr="00606B1E" w:rsidTr="00DE50F0">
        <w:tc>
          <w:tcPr>
            <w:tcW w:w="9990" w:type="dxa"/>
            <w:gridSpan w:val="5"/>
          </w:tcPr>
          <w:p w:rsidR="00967CC6" w:rsidRPr="00BF52F3" w:rsidRDefault="00967CC6" w:rsidP="00BF52F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BF52F3">
              <w:rPr>
                <w:rFonts w:ascii="Arial" w:hAnsi="Arial" w:cs="Arial"/>
                <w:sz w:val="22"/>
              </w:rPr>
              <w:t>Honorary Vice President, Scottish Arbitration Centre;</w:t>
            </w:r>
          </w:p>
          <w:p w:rsidR="00BF52F3" w:rsidRPr="00BF52F3" w:rsidRDefault="00BF52F3" w:rsidP="00BF52F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BF52F3">
              <w:rPr>
                <w:rFonts w:ascii="Arial" w:hAnsi="Arial" w:cs="Arial"/>
                <w:sz w:val="22"/>
              </w:rPr>
              <w:t>Past President of the Chartered Institute of Arbitrators (2007), the world’s premier such body with approx. 15,000 members in 130+ countries;</w:t>
            </w:r>
          </w:p>
          <w:p w:rsidR="00BF52F3" w:rsidRPr="00BF52F3" w:rsidRDefault="00BF52F3" w:rsidP="00BF52F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BF52F3">
              <w:rPr>
                <w:rFonts w:ascii="Arial" w:hAnsi="Arial" w:cs="Arial"/>
                <w:sz w:val="22"/>
              </w:rPr>
              <w:lastRenderedPageBreak/>
              <w:t>Chairman Advisory Board – Chinese European Arbitration Centre (Hamburg) (2008-date);</w:t>
            </w:r>
          </w:p>
          <w:p w:rsidR="00BF52F3" w:rsidRPr="00BF52F3" w:rsidRDefault="00BF52F3" w:rsidP="00BF52F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BF52F3">
              <w:rPr>
                <w:rFonts w:ascii="Arial" w:hAnsi="Arial" w:cs="Arial"/>
                <w:sz w:val="22"/>
              </w:rPr>
              <w:t>Presidente Honorario, Centro International de Arbitraje e Mediación (Quito) (2007-date);</w:t>
            </w:r>
          </w:p>
          <w:p w:rsidR="00BF52F3" w:rsidRPr="00BF52F3" w:rsidRDefault="00BF52F3" w:rsidP="00BF52F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BF52F3">
              <w:rPr>
                <w:rFonts w:ascii="Arial" w:hAnsi="Arial" w:cs="Arial"/>
                <w:sz w:val="22"/>
              </w:rPr>
              <w:t>Substantial contributor to the development and drafting of the Arbitration (Scotland) Act 2010 including 42,000 words of submissions, analyses and briefings (see also below);</w:t>
            </w:r>
          </w:p>
          <w:p w:rsidR="00BF52F3" w:rsidRPr="00BF52F3" w:rsidRDefault="00BF52F3" w:rsidP="00BF52F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BF52F3">
              <w:rPr>
                <w:rFonts w:ascii="Arial" w:hAnsi="Arial" w:cs="Arial"/>
                <w:sz w:val="22"/>
              </w:rPr>
              <w:t>Co-Author of the definitive book “Dundas &amp; Bartos on the Arbitration (Scotland) Act 2010” (2nd edn pub. W Green &amp; Co August 2014; ISBN 978-0-414-01927-0)</w:t>
            </w:r>
          </w:p>
          <w:p w:rsidR="00BF52F3" w:rsidRPr="00BF52F3" w:rsidRDefault="00BF52F3" w:rsidP="00BF52F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BF52F3">
              <w:rPr>
                <w:rFonts w:ascii="Arial" w:hAnsi="Arial" w:cs="Arial"/>
                <w:sz w:val="22"/>
              </w:rPr>
              <w:t>Co-Author of ICCA National Report on Việt Nam (2012; revised 2015, 2016, 2017 and 2018)</w:t>
            </w:r>
          </w:p>
          <w:p w:rsidR="00BF52F3" w:rsidRPr="00BF52F3" w:rsidRDefault="00BF52F3" w:rsidP="00BF52F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BF52F3">
              <w:rPr>
                <w:rFonts w:ascii="Arial" w:hAnsi="Arial" w:cs="Arial"/>
                <w:sz w:val="22"/>
              </w:rPr>
              <w:t>Chartered Arbitrator (May 2003); FCIArb August 2001; winner of the CIArb President’s Prize for the highest mark in the final FCIArb examination paper (Part 2C – Award Writing);</w:t>
            </w:r>
          </w:p>
          <w:p w:rsidR="00BF52F3" w:rsidRPr="00BF52F3" w:rsidRDefault="00BF52F3" w:rsidP="00BF52F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BF52F3">
              <w:rPr>
                <w:rFonts w:ascii="Arial" w:hAnsi="Arial" w:cs="Arial"/>
                <w:sz w:val="22"/>
              </w:rPr>
              <w:t>Diploma in International Commercial Arbitration (January 2002);</w:t>
            </w:r>
          </w:p>
          <w:p w:rsidR="00BF52F3" w:rsidRDefault="00BF52F3" w:rsidP="00BF52F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BF52F3">
              <w:rPr>
                <w:rFonts w:ascii="Arial" w:hAnsi="Arial" w:cs="Arial"/>
                <w:sz w:val="22"/>
              </w:rPr>
              <w:t>Memberships of Arbitration/Mediation Panels include</w:t>
            </w:r>
            <w:r>
              <w:rPr>
                <w:rFonts w:ascii="Arial" w:hAnsi="Arial" w:cs="Arial"/>
                <w:sz w:val="22"/>
              </w:rPr>
              <w:t>:</w:t>
            </w:r>
          </w:p>
          <w:p w:rsidR="00BF52F3" w:rsidRPr="00BF52F3" w:rsidRDefault="00BF52F3" w:rsidP="00BF52F3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BF52F3">
              <w:rPr>
                <w:rFonts w:ascii="Arial" w:hAnsi="Arial" w:cs="Arial"/>
                <w:sz w:val="22"/>
              </w:rPr>
              <w:t>President’s Panel of Chartered Arbitrators, Chartered Institute of Arbitrators;</w:t>
            </w:r>
          </w:p>
          <w:p w:rsidR="00BF52F3" w:rsidRPr="00BF52F3" w:rsidRDefault="00BF52F3" w:rsidP="00BF52F3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BF52F3">
              <w:rPr>
                <w:rFonts w:ascii="Arial" w:hAnsi="Arial" w:cs="Arial"/>
                <w:sz w:val="22"/>
              </w:rPr>
              <w:t>Chairman’s Panel of Chartered Arbitrators, Chartered Institute of Arbitrators (Scottish Branch);</w:t>
            </w:r>
          </w:p>
          <w:p w:rsidR="00BF52F3" w:rsidRPr="00BF52F3" w:rsidRDefault="00BF52F3" w:rsidP="00BF52F3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BF52F3">
              <w:rPr>
                <w:rFonts w:ascii="Arial" w:hAnsi="Arial" w:cs="Arial"/>
                <w:sz w:val="22"/>
              </w:rPr>
              <w:t>Beijing Arbitration Commission;</w:t>
            </w:r>
          </w:p>
          <w:p w:rsidR="00BF52F3" w:rsidRPr="00BF52F3" w:rsidRDefault="00BF52F3" w:rsidP="00BF52F3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BF52F3">
              <w:rPr>
                <w:rFonts w:ascii="Arial" w:hAnsi="Arial" w:cs="Arial"/>
                <w:sz w:val="22"/>
              </w:rPr>
              <w:t>Singapore International Arbitration Centre;</w:t>
            </w:r>
          </w:p>
          <w:p w:rsidR="00BF52F3" w:rsidRPr="00BF52F3" w:rsidRDefault="00BF52F3" w:rsidP="00BF52F3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BF52F3">
              <w:rPr>
                <w:rFonts w:ascii="Arial" w:hAnsi="Arial" w:cs="Arial"/>
                <w:sz w:val="22"/>
              </w:rPr>
              <w:t>Kuala Lumpur Regional Centre for Arbitration;</w:t>
            </w:r>
          </w:p>
          <w:p w:rsidR="00BF52F3" w:rsidRPr="00BF52F3" w:rsidRDefault="00BF52F3" w:rsidP="00BF52F3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BF52F3">
              <w:rPr>
                <w:rFonts w:ascii="Arial" w:hAnsi="Arial" w:cs="Arial"/>
                <w:sz w:val="22"/>
              </w:rPr>
              <w:t>Hong Kong International Arbitration Centre;</w:t>
            </w:r>
          </w:p>
          <w:p w:rsidR="00BF52F3" w:rsidRPr="00BF52F3" w:rsidRDefault="00BF52F3" w:rsidP="00BF52F3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</w:t>
            </w:r>
            <w:r w:rsidRPr="00BF52F3">
              <w:rPr>
                <w:rFonts w:ascii="Arial" w:hAnsi="Arial" w:cs="Arial"/>
                <w:sz w:val="22"/>
              </w:rPr>
              <w:t>ernational Arbitration Court of the Republic of Kazakhstan;</w:t>
            </w:r>
          </w:p>
          <w:p w:rsidR="00BF52F3" w:rsidRPr="00BF52F3" w:rsidRDefault="00BF52F3" w:rsidP="00BF52F3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BF52F3">
              <w:rPr>
                <w:rFonts w:ascii="Arial" w:hAnsi="Arial" w:cs="Arial"/>
                <w:sz w:val="22"/>
              </w:rPr>
              <w:t>FINRA (formerly National Association of Securities Dealers) (USA/UK);</w:t>
            </w:r>
          </w:p>
          <w:p w:rsidR="00BF52F3" w:rsidRPr="00BF52F3" w:rsidRDefault="00BF52F3" w:rsidP="00BF52F3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BF52F3">
              <w:rPr>
                <w:rFonts w:ascii="Arial" w:hAnsi="Arial" w:cs="Arial"/>
                <w:sz w:val="22"/>
              </w:rPr>
              <w:t>Chicago International Dispute Resolution Association;</w:t>
            </w:r>
          </w:p>
          <w:p w:rsidR="00BF52F3" w:rsidRPr="00BF52F3" w:rsidRDefault="00BF52F3" w:rsidP="00BF52F3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BF52F3">
              <w:rPr>
                <w:rFonts w:ascii="Arial" w:hAnsi="Arial" w:cs="Arial"/>
                <w:sz w:val="22"/>
              </w:rPr>
              <w:t>FICCI Arbitration &amp; Conciliation Tribunal (India);</w:t>
            </w:r>
          </w:p>
          <w:p w:rsidR="00BF52F3" w:rsidRPr="00BF52F3" w:rsidRDefault="00BF52F3" w:rsidP="00BF52F3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BF52F3">
              <w:rPr>
                <w:rFonts w:ascii="Arial" w:hAnsi="Arial" w:cs="Arial"/>
                <w:sz w:val="22"/>
              </w:rPr>
              <w:t>Permanent Court of Arbitration CCIS (Slovenia);</w:t>
            </w:r>
          </w:p>
          <w:p w:rsidR="00BF52F3" w:rsidRDefault="00BF52F3" w:rsidP="00BF52F3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BF52F3">
              <w:rPr>
                <w:rFonts w:ascii="Arial" w:hAnsi="Arial" w:cs="Arial"/>
                <w:sz w:val="22"/>
              </w:rPr>
              <w:t>Baltic Exchange Mediation Panel.</w:t>
            </w:r>
          </w:p>
          <w:p w:rsidR="00BF52F3" w:rsidRDefault="00BF52F3" w:rsidP="00BF52F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BF52F3">
              <w:rPr>
                <w:rFonts w:ascii="Arial" w:hAnsi="Arial" w:cs="Arial"/>
                <w:sz w:val="22"/>
              </w:rPr>
              <w:t>Past Master (2011-12), Worshipful Company of Arbitrators; Liveryman, Worshipful Company of Shipwrights;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F52F3">
              <w:rPr>
                <w:rFonts w:ascii="Arial" w:hAnsi="Arial" w:cs="Arial"/>
                <w:sz w:val="22"/>
              </w:rPr>
              <w:t>Liveryman and Court Assistant, Honourable Company of Master Mariners; Liveryman, Worshipful Company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F52F3">
              <w:rPr>
                <w:rFonts w:ascii="Arial" w:hAnsi="Arial" w:cs="Arial"/>
                <w:sz w:val="22"/>
              </w:rPr>
              <w:t>of Musicians; Freeman of the City of London; Burgess of the City of Edinburgh; Member, Royal Company of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F52F3">
              <w:rPr>
                <w:rFonts w:ascii="Arial" w:hAnsi="Arial" w:cs="Arial"/>
                <w:sz w:val="22"/>
              </w:rPr>
              <w:t>Merchants of the City of Edinburgh.</w:t>
            </w:r>
          </w:p>
          <w:p w:rsidR="00BF52F3" w:rsidRDefault="00BF52F3" w:rsidP="00BF52F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BF52F3">
              <w:rPr>
                <w:rFonts w:ascii="Arial" w:hAnsi="Arial" w:cs="Arial"/>
                <w:sz w:val="22"/>
              </w:rPr>
              <w:t>Other Memberships: London Court of International Arbitration; London Maritime Arbitrators’ Association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F52F3">
              <w:rPr>
                <w:rFonts w:ascii="Arial" w:hAnsi="Arial" w:cs="Arial"/>
                <w:sz w:val="22"/>
              </w:rPr>
              <w:t>(S/M); International Arbitration Club; founding Chairman Oil &amp; Gas Branch of The Arbitration Club; founder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F52F3">
              <w:rPr>
                <w:rFonts w:ascii="Arial" w:hAnsi="Arial" w:cs="Arial"/>
                <w:sz w:val="22"/>
              </w:rPr>
              <w:t>of the Financial Sector Branch of The Arbitration Club; Colegio de Abogados de Pichincha (Quito) (H/M);</w:t>
            </w:r>
          </w:p>
          <w:p w:rsidR="00BF52F3" w:rsidRDefault="00BF52F3" w:rsidP="00BF52F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BF52F3">
              <w:rPr>
                <w:rFonts w:ascii="Arial" w:hAnsi="Arial" w:cs="Arial"/>
                <w:sz w:val="22"/>
              </w:rPr>
              <w:t>External Examiner (PhD), Centre for Energy, Petroleum &amp; Mineral Law and Policy, University of Dundee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F52F3">
              <w:rPr>
                <w:rFonts w:ascii="Arial" w:hAnsi="Arial" w:cs="Arial"/>
                <w:sz w:val="22"/>
              </w:rPr>
              <w:t>(2005ff); CIArb Chief Examiner – International Award Writing (2003-2006); Member of CIArb Mediation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F52F3">
              <w:rPr>
                <w:rFonts w:ascii="Arial" w:hAnsi="Arial" w:cs="Arial"/>
                <w:sz w:val="22"/>
              </w:rPr>
              <w:t>Assessment Appeals Panel (2005-2008);</w:t>
            </w:r>
          </w:p>
          <w:p w:rsidR="00BF52F3" w:rsidRDefault="00BF52F3" w:rsidP="00BF52F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Pr="00BF52F3">
              <w:rPr>
                <w:rFonts w:ascii="Arial" w:hAnsi="Arial" w:cs="Arial"/>
                <w:sz w:val="22"/>
              </w:rPr>
              <w:t>rbitrations include ICC, LCIA and SIAC international cases, Nigerian domestic and international cases and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F52F3">
              <w:rPr>
                <w:rFonts w:ascii="Arial" w:hAnsi="Arial" w:cs="Arial"/>
                <w:sz w:val="22"/>
              </w:rPr>
              <w:t>also Scottish and English domestic cases; parties involved have included Governments, State-Operated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F52F3">
              <w:rPr>
                <w:rFonts w:ascii="Arial" w:hAnsi="Arial" w:cs="Arial"/>
                <w:sz w:val="22"/>
              </w:rPr>
              <w:t>Enterprises, commercial companies of all sizes from giant multinationals to 1-man bands, private parties and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F52F3">
              <w:rPr>
                <w:rFonts w:ascii="Arial" w:hAnsi="Arial" w:cs="Arial"/>
                <w:sz w:val="22"/>
              </w:rPr>
              <w:t>individuals; recent cases have involved parties from India, Australia, Iraq, Nigeria, USA, Canada, France,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F52F3">
              <w:rPr>
                <w:rFonts w:ascii="Arial" w:hAnsi="Arial" w:cs="Arial"/>
                <w:sz w:val="22"/>
              </w:rPr>
              <w:t>Germany, Luxemburg, the PRC, HK, UAE, Croatia, Spain, Turkey, Russia et al.;</w:t>
            </w:r>
          </w:p>
          <w:p w:rsidR="00BF52F3" w:rsidRDefault="00BF52F3" w:rsidP="00BF52F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BF52F3">
              <w:rPr>
                <w:rFonts w:ascii="Arial" w:hAnsi="Arial" w:cs="Arial"/>
                <w:sz w:val="22"/>
              </w:rPr>
              <w:t>CEDR-Accredited Mediator (June 2000) including international mediation;</w:t>
            </w:r>
          </w:p>
          <w:p w:rsidR="00BF52F3" w:rsidRDefault="00BF52F3" w:rsidP="00BF52F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BF52F3">
              <w:rPr>
                <w:rFonts w:ascii="Arial" w:hAnsi="Arial" w:cs="Arial"/>
                <w:sz w:val="22"/>
              </w:rPr>
              <w:t>Former Director (2006-12) of Scottish Mediation Network Ltd, the umbrella body for all forms of mediation in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F52F3">
              <w:rPr>
                <w:rFonts w:ascii="Arial" w:hAnsi="Arial" w:cs="Arial"/>
                <w:sz w:val="22"/>
              </w:rPr>
              <w:t>Scotland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BF52F3" w:rsidRDefault="00BF52F3" w:rsidP="00BF52F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BF52F3">
              <w:rPr>
                <w:rFonts w:ascii="Arial" w:hAnsi="Arial" w:cs="Arial"/>
                <w:sz w:val="22"/>
              </w:rPr>
              <w:t>Contributor to “A Liber Amicorum Thomas Wälde: Law Beyond Conventional Thought” (pub. Cameron May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F52F3">
              <w:rPr>
                <w:rFonts w:ascii="Arial" w:hAnsi="Arial" w:cs="Arial"/>
                <w:sz w:val="22"/>
              </w:rPr>
              <w:t>2009; ISBN 978-1-907174-01-8);</w:t>
            </w:r>
            <w:r w:rsidRPr="00BF52F3">
              <w:rPr>
                <w:rFonts w:ascii="Arial" w:hAnsi="Arial" w:cs="Arial"/>
                <w:sz w:val="22"/>
              </w:rPr>
              <w:t> Contributor to “International Arbitration and International Commercial Law: Synergy, Convergence and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F52F3">
              <w:rPr>
                <w:rFonts w:ascii="Arial" w:hAnsi="Arial" w:cs="Arial"/>
                <w:sz w:val="22"/>
              </w:rPr>
              <w:t>Evolution – A Liber Amicorum Eric Bergsten” (pub. Kluwer 2011; ISBN 978-9-0411-3522-3);</w:t>
            </w:r>
          </w:p>
          <w:p w:rsidR="00BF52F3" w:rsidRDefault="00BF52F3" w:rsidP="00BF52F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BF52F3">
              <w:rPr>
                <w:rFonts w:ascii="Arial" w:hAnsi="Arial" w:cs="Arial"/>
                <w:sz w:val="22"/>
              </w:rPr>
              <w:t>Contributor to “Arbitration in England &amp; Wales with Chapters on Scotland and Ireland” (pub. Kluwer 2014;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F52F3">
              <w:rPr>
                <w:rFonts w:ascii="Arial" w:hAnsi="Arial" w:cs="Arial"/>
                <w:sz w:val="22"/>
              </w:rPr>
              <w:t>ISBN 978-9-0411-3998-6);</w:t>
            </w:r>
          </w:p>
          <w:p w:rsidR="00BF52F3" w:rsidRDefault="00BF52F3" w:rsidP="00BF52F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BF52F3">
              <w:rPr>
                <w:rFonts w:ascii="Arial" w:hAnsi="Arial" w:cs="Arial"/>
                <w:sz w:val="22"/>
              </w:rPr>
              <w:t>Co-Author of “The Danubia Files – Award-Writing Lessons from the Vis Moot” (pub. Outskirts Press 2013;</w:t>
            </w:r>
          </w:p>
          <w:p w:rsidR="008C34DB" w:rsidRDefault="00BF52F3" w:rsidP="008C34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BF52F3">
              <w:rPr>
                <w:rFonts w:ascii="Arial" w:hAnsi="Arial" w:cs="Arial"/>
                <w:sz w:val="22"/>
              </w:rPr>
              <w:t>ISBN 978-1-4787-1179-7);</w:t>
            </w:r>
          </w:p>
          <w:p w:rsidR="008C34DB" w:rsidRDefault="00BF52F3" w:rsidP="008C34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8C34DB">
              <w:rPr>
                <w:rFonts w:ascii="Arial" w:hAnsi="Arial" w:cs="Arial"/>
                <w:sz w:val="22"/>
              </w:rPr>
              <w:lastRenderedPageBreak/>
              <w:t>Co-Author of the Scottish chapter in “Interim Measures in International Arbitration” (eds. Newman/Ong; pub.</w:t>
            </w:r>
            <w:r w:rsidR="008C34DB"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Juris 2015; ISBN 978-1-937518-40-0)</w:t>
            </w:r>
          </w:p>
          <w:p w:rsidR="008C34DB" w:rsidRDefault="00BF52F3" w:rsidP="008C34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8C34DB">
              <w:rPr>
                <w:rFonts w:ascii="Arial" w:hAnsi="Arial" w:cs="Arial"/>
                <w:sz w:val="22"/>
              </w:rPr>
              <w:t>Author of approx. 200 articles on arbitration and related matters including 101 for the CIArb’s journal</w:t>
            </w:r>
            <w:r w:rsidR="008C34DB"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“ARBITRATION”</w:t>
            </w:r>
          </w:p>
          <w:p w:rsidR="008C34DB" w:rsidRDefault="00BF52F3" w:rsidP="008C34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8C34DB">
              <w:rPr>
                <w:rFonts w:ascii="Arial" w:hAnsi="Arial" w:cs="Arial"/>
                <w:sz w:val="22"/>
              </w:rPr>
              <w:t>Contributor to “ARBITRATION” (journal of CIArb), “International Arbitration News” (ABA), International</w:t>
            </w:r>
            <w:r w:rsidR="008C34DB"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Litigation Quarterly (ABA), “ТРЕТЕЙСКИЙ СУД” (Moscow), ΜЕЖДУНАРОДНЫЙ КОММЕРЧЕСКИЙ</w:t>
            </w:r>
            <w:r w:rsidR="008C34DB"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АРБИТРАЖ (“International Commercial Arbitration”) (Moscow), “Asian Dispute Review” (Hong Kong);</w:t>
            </w:r>
            <w:r w:rsidR="008C34DB"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“Arbitration Bulletin” (Almaty), OGEL, TDM, Money-Laundering Journal, International Energy Law Review,</w:t>
            </w:r>
            <w:r w:rsidR="008C34DB"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Dispute Resolution International and others; writer/publisher of own arbitration/dispute resolution law</w:t>
            </w:r>
            <w:r w:rsidR="008C34DB"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newsletter;</w:t>
            </w:r>
          </w:p>
          <w:p w:rsidR="00BF52F3" w:rsidRPr="008C34DB" w:rsidRDefault="00BF52F3" w:rsidP="008C34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8C34DB">
              <w:rPr>
                <w:rFonts w:ascii="Arial" w:hAnsi="Arial" w:cs="Arial"/>
                <w:sz w:val="22"/>
              </w:rPr>
              <w:t>Regular lecturer on legal and arbitral topics at Edinburgh, Aberdeen and (since 1991) Dundee Universities;</w:t>
            </w:r>
            <w:r w:rsidR="008C34DB"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occasional lecturer at Hull, Kingston, Brunel, Robert Gordon and Strathclyde Universities in the UK and at</w:t>
            </w:r>
            <w:r w:rsidR="008C34DB"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universities in Beijing, Quito and Vienna;</w:t>
            </w:r>
          </w:p>
        </w:tc>
      </w:tr>
      <w:tr w:rsidR="005629D0" w:rsidRPr="008C34DB" w:rsidTr="008C34DB">
        <w:tc>
          <w:tcPr>
            <w:tcW w:w="9990" w:type="dxa"/>
            <w:gridSpan w:val="5"/>
            <w:shd w:val="clear" w:color="auto" w:fill="D9D9D9" w:themeFill="background1" w:themeFillShade="D9"/>
          </w:tcPr>
          <w:p w:rsidR="005629D0" w:rsidRPr="00AB2E1E" w:rsidRDefault="008C34DB" w:rsidP="008C34DB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u w:val="single"/>
              </w:rPr>
            </w:pPr>
            <w:r w:rsidRPr="008C34DB">
              <w:rPr>
                <w:rFonts w:ascii="Arial" w:hAnsi="Arial" w:cs="Arial"/>
                <w:b/>
                <w:sz w:val="22"/>
                <w:u w:val="single"/>
              </w:rPr>
              <w:lastRenderedPageBreak/>
              <w:t>International Petroleum Law and Risk Management Consultant (1998-2001)</w:t>
            </w:r>
          </w:p>
        </w:tc>
      </w:tr>
      <w:tr w:rsidR="008C34DB" w:rsidRPr="00606B1E" w:rsidTr="00236015">
        <w:tc>
          <w:tcPr>
            <w:tcW w:w="9990" w:type="dxa"/>
            <w:gridSpan w:val="5"/>
          </w:tcPr>
          <w:p w:rsidR="008C34DB" w:rsidRDefault="008C34DB" w:rsidP="008C34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8C34DB">
              <w:rPr>
                <w:rFonts w:ascii="Arial" w:hAnsi="Arial" w:cs="Arial"/>
                <w:sz w:val="22"/>
              </w:rPr>
              <w:t>Client - foreign State oil &amp; gas company: advised on petroleum taxation;</w:t>
            </w:r>
          </w:p>
          <w:p w:rsidR="008C34DB" w:rsidRDefault="008C34DB" w:rsidP="008C34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8C34DB">
              <w:rPr>
                <w:rFonts w:ascii="Arial" w:hAnsi="Arial" w:cs="Arial"/>
                <w:sz w:val="22"/>
              </w:rPr>
              <w:t>Client - foreign State oil &amp; gas company: advised on joint operating agreements and licence terms</w:t>
            </w:r>
          </w:p>
          <w:p w:rsidR="008C34DB" w:rsidRDefault="008C34DB" w:rsidP="008C34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8C34DB">
              <w:rPr>
                <w:rFonts w:ascii="Arial" w:hAnsi="Arial" w:cs="Arial"/>
                <w:sz w:val="22"/>
              </w:rPr>
              <w:t>Client - UK Solicitors: work on a £100m UKCS Sale &amp; Leaseback of an offshore production platform;</w:t>
            </w:r>
          </w:p>
          <w:p w:rsidR="008C34DB" w:rsidRDefault="008C34DB" w:rsidP="008C34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8C34DB">
              <w:rPr>
                <w:rFonts w:ascii="Arial" w:hAnsi="Arial" w:cs="Arial"/>
                <w:sz w:val="22"/>
              </w:rPr>
              <w:t>Client - large UK E&amp;P company: advice on specialised aspects of project management of $1bn oil-field</w:t>
            </w:r>
            <w:r>
              <w:rPr>
                <w:rFonts w:ascii="Arial" w:hAnsi="Arial" w:cs="Arial"/>
                <w:sz w:val="22"/>
              </w:rPr>
              <w:t xml:space="preserve"> project in South America;</w:t>
            </w:r>
          </w:p>
          <w:p w:rsidR="008C34DB" w:rsidRDefault="008C34DB" w:rsidP="008C34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8C34DB">
              <w:rPr>
                <w:rFonts w:ascii="Arial" w:hAnsi="Arial" w:cs="Arial"/>
                <w:sz w:val="22"/>
              </w:rPr>
              <w:t>Client: small UK E&amp;P company: all legal/commercial work for acquisition of asset package in Middle East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involving complex issues of split equities, novel cross-indemnity arrangements and the laws of five different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jurisdictions;</w:t>
            </w:r>
          </w:p>
          <w:p w:rsidR="008C34DB" w:rsidRDefault="008C34DB" w:rsidP="008C34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8C34DB">
              <w:rPr>
                <w:rFonts w:ascii="Arial" w:hAnsi="Arial" w:cs="Arial"/>
                <w:sz w:val="22"/>
              </w:rPr>
              <w:t>Client - small non-UK E&amp;P company: preparation of complex interlocking suite of joint venture agreements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including novel AMI/JOA arrangements in respect of offshore acreage within one country’s EEZ;</w:t>
            </w:r>
          </w:p>
          <w:p w:rsidR="008C34DB" w:rsidRDefault="008C34DB" w:rsidP="008C34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8C34DB">
              <w:rPr>
                <w:rFonts w:ascii="Arial" w:hAnsi="Arial" w:cs="Arial"/>
                <w:sz w:val="22"/>
              </w:rPr>
              <w:t>Client - large UK E&amp;P company: preparation of detailed research paper on the application of International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Law of the Sea to the offshore E&amp;P industry of a developing country including consideration of applicability of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domestic laws;</w:t>
            </w:r>
          </w:p>
          <w:p w:rsidR="008C34DB" w:rsidRDefault="008C34DB" w:rsidP="008C34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8C34DB">
              <w:rPr>
                <w:rFonts w:ascii="Arial" w:hAnsi="Arial" w:cs="Arial"/>
                <w:sz w:val="22"/>
              </w:rPr>
              <w:t>Client – UK-based international consulting group: provision of preliminary tax advice in connection with a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project to revise substantially a developing country’s petroleum and petroleum tax laws;</w:t>
            </w:r>
          </w:p>
          <w:p w:rsidR="008C34DB" w:rsidRDefault="008C34DB" w:rsidP="008C34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8C34DB">
              <w:rPr>
                <w:rFonts w:ascii="Arial" w:hAnsi="Arial" w:cs="Arial"/>
                <w:sz w:val="22"/>
              </w:rPr>
              <w:t>Client – Lloyds Underwriter: provision of comprehensive analysis of UK decommissioning laws (including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applicable international law) and of a draft proposed decommissioning insurance policy form;</w:t>
            </w:r>
          </w:p>
          <w:p w:rsidR="008C34DB" w:rsidRDefault="008C34DB" w:rsidP="008C34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8C34DB">
              <w:rPr>
                <w:rFonts w:ascii="Arial" w:hAnsi="Arial" w:cs="Arial"/>
                <w:sz w:val="22"/>
              </w:rPr>
              <w:t>Client - UK Solicitors: advised on the setting up of an Energy/Oil &amp; Gas Department;</w:t>
            </w:r>
          </w:p>
          <w:p w:rsidR="008C34DB" w:rsidRPr="008C34DB" w:rsidRDefault="008C34DB" w:rsidP="008C34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8C34DB">
              <w:rPr>
                <w:rFonts w:ascii="Arial" w:hAnsi="Arial" w:cs="Arial"/>
                <w:sz w:val="22"/>
              </w:rPr>
              <w:t>Client - UK Solicitors: advised on the setting up of an office and associated business development in an Oil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City;</w:t>
            </w:r>
          </w:p>
        </w:tc>
      </w:tr>
      <w:tr w:rsidR="008C34DB" w:rsidRPr="00606B1E" w:rsidTr="008C34DB">
        <w:tc>
          <w:tcPr>
            <w:tcW w:w="9990" w:type="dxa"/>
            <w:gridSpan w:val="5"/>
            <w:shd w:val="clear" w:color="auto" w:fill="D9D9D9" w:themeFill="background1" w:themeFillShade="D9"/>
          </w:tcPr>
          <w:p w:rsidR="008C34DB" w:rsidRDefault="008C34DB" w:rsidP="008C34DB">
            <w:pPr>
              <w:spacing w:line="276" w:lineRule="auto"/>
              <w:ind w:right="27"/>
              <w:rPr>
                <w:rFonts w:ascii="Arial" w:hAnsi="Arial" w:cs="Arial"/>
                <w:b/>
                <w:sz w:val="22"/>
                <w:u w:val="single"/>
              </w:rPr>
            </w:pPr>
            <w:r w:rsidRPr="008C34DB">
              <w:rPr>
                <w:rFonts w:ascii="Arial" w:hAnsi="Arial" w:cs="Arial"/>
                <w:b/>
                <w:sz w:val="22"/>
                <w:u w:val="single"/>
              </w:rPr>
              <w:t xml:space="preserve">August 1995 to October 1998 </w:t>
            </w:r>
          </w:p>
          <w:p w:rsidR="008C34DB" w:rsidRPr="008C34DB" w:rsidRDefault="008C34DB" w:rsidP="005629D0">
            <w:pPr>
              <w:spacing w:line="276" w:lineRule="auto"/>
              <w:ind w:right="27"/>
              <w:rPr>
                <w:rFonts w:ascii="Arial" w:hAnsi="Arial" w:cs="Arial"/>
                <w:b/>
                <w:sz w:val="22"/>
                <w:u w:val="single"/>
              </w:rPr>
            </w:pPr>
            <w:r w:rsidRPr="008C34DB">
              <w:rPr>
                <w:rFonts w:ascii="Arial" w:hAnsi="Arial" w:cs="Arial"/>
                <w:b/>
                <w:sz w:val="22"/>
                <w:u w:val="single"/>
              </w:rPr>
              <w:t>General Manager, Legal/Group Insurance Manager/Compa</w:t>
            </w:r>
            <w:r>
              <w:rPr>
                <w:rFonts w:ascii="Arial" w:hAnsi="Arial" w:cs="Arial"/>
                <w:b/>
                <w:sz w:val="22"/>
                <w:u w:val="single"/>
              </w:rPr>
              <w:t>ny Secretary - Cairn Energy PLC</w:t>
            </w:r>
          </w:p>
        </w:tc>
      </w:tr>
      <w:tr w:rsidR="008C34DB" w:rsidRPr="00606B1E" w:rsidTr="00236015">
        <w:tc>
          <w:tcPr>
            <w:tcW w:w="9990" w:type="dxa"/>
            <w:gridSpan w:val="5"/>
          </w:tcPr>
          <w:p w:rsidR="008C34DB" w:rsidRDefault="008C34DB" w:rsidP="008C34DB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8C34DB">
              <w:rPr>
                <w:rFonts w:ascii="Arial" w:hAnsi="Arial" w:cs="Arial"/>
                <w:sz w:val="22"/>
              </w:rPr>
              <w:t>Promotion to General Manager; appointed to Cairn Energy PLC Board of Man</w:t>
            </w:r>
            <w:r>
              <w:rPr>
                <w:rFonts w:ascii="Arial" w:hAnsi="Arial" w:cs="Arial"/>
                <w:sz w:val="22"/>
              </w:rPr>
              <w:t xml:space="preserve">agement w.e.f. 1st August 1995; </w:t>
            </w:r>
            <w:r w:rsidRPr="008C34DB">
              <w:rPr>
                <w:rFonts w:ascii="Arial" w:hAnsi="Arial" w:cs="Arial"/>
                <w:sz w:val="22"/>
              </w:rPr>
              <w:t>legal responsibilities continuation of previous period: in particular:</w:t>
            </w:r>
          </w:p>
          <w:p w:rsidR="008C34DB" w:rsidRDefault="008C34DB" w:rsidP="008C34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8C34DB">
              <w:rPr>
                <w:rFonts w:ascii="Arial" w:hAnsi="Arial" w:cs="Arial"/>
                <w:sz w:val="22"/>
              </w:rPr>
              <w:t>directed all aspects (principally legal and taxation including designing a highly tax-efficient corporate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ownership structure) of the Cairn Group's purchase of the 250' 4-leg offshore jack-up rig Energy Explorer IV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involving lawyers in seven countries and tax advisers in four;</w:t>
            </w:r>
          </w:p>
          <w:p w:rsidR="008C34DB" w:rsidRDefault="008C34DB" w:rsidP="008C34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8C34DB">
              <w:rPr>
                <w:rFonts w:ascii="Arial" w:hAnsi="Arial" w:cs="Arial"/>
                <w:sz w:val="22"/>
              </w:rPr>
              <w:t>responsible for all legal and taxation aspects of 1997 $330m+ joint venture with Shell covering Bangladesh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and parts of India, a highly innovative and complex commercial concept matched by equally innovative legal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concepts; in 1998 prepared all legal documentation for, finalised and closed down second stage in only 5½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days;</w:t>
            </w:r>
          </w:p>
          <w:p w:rsidR="008C34DB" w:rsidRDefault="008C34DB" w:rsidP="008C34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8C34DB">
              <w:rPr>
                <w:rFonts w:ascii="Arial" w:hAnsi="Arial" w:cs="Arial"/>
                <w:sz w:val="22"/>
              </w:rPr>
              <w:lastRenderedPageBreak/>
              <w:t>responsible for all legal aspects of 1996-97 £200m takeover of Command Petroleum Limited (Australia)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including detailed involvement with Australian corporate and securities laws and US securities law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implications; completed minority buy-out in (apparently) record time;</w:t>
            </w:r>
          </w:p>
          <w:p w:rsidR="008C34DB" w:rsidRDefault="008C34DB" w:rsidP="008C34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8C34DB">
              <w:rPr>
                <w:rFonts w:ascii="Arial" w:hAnsi="Arial" w:cs="Arial"/>
                <w:sz w:val="22"/>
              </w:rPr>
              <w:t>Managing Director of Cairn's international group holding company network and extensively involved in the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international tax planning and legal aspects thereof;</w:t>
            </w:r>
          </w:p>
          <w:p w:rsidR="008C34DB" w:rsidRDefault="008C34DB" w:rsidP="008C34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8C34DB">
              <w:rPr>
                <w:rFonts w:ascii="Arial" w:hAnsi="Arial" w:cs="Arial"/>
                <w:sz w:val="22"/>
              </w:rPr>
              <w:t>developed and directed all contracting aspects of Cairn's Bangladesh offshore drilling programme, the first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such programme offshore Bangladesh since the 1970s, including development of standard form contracts,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negotiations with contractors, dispute resolution &amp;c;</w:t>
            </w:r>
          </w:p>
          <w:p w:rsidR="008C34DB" w:rsidRDefault="008C34DB" w:rsidP="008C34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8C34DB">
              <w:rPr>
                <w:rFonts w:ascii="Arial" w:hAnsi="Arial" w:cs="Arial"/>
                <w:sz w:val="22"/>
              </w:rPr>
              <w:t>continuing responsibility for Cairn's worldwide legal affairs with most legal work handled in-house except in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respect of the USA or Australia or where prevented by language;</w:t>
            </w:r>
            <w:r w:rsidRPr="008C34DB">
              <w:rPr>
                <w:rFonts w:ascii="Arial" w:hAnsi="Arial" w:cs="Arial"/>
                <w:sz w:val="22"/>
              </w:rPr>
              <w:t> responsible for all Cairn Group's Energy Insurances; directed placing of Political Risk Insurance for Cairn's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Bangladeshi gas field development, the first such insurance ever created;</w:t>
            </w:r>
          </w:p>
          <w:p w:rsidR="008C34DB" w:rsidRDefault="008C34DB" w:rsidP="008C34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8C34DB">
              <w:rPr>
                <w:rFonts w:ascii="Arial" w:hAnsi="Arial" w:cs="Arial"/>
                <w:sz w:val="22"/>
              </w:rPr>
              <w:t>Chief Compliance Officer for Cairn including liaison with London, Amsterdam and Sydney Stock Exchanges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regarding compliance, Yellow Book and other issues;</w:t>
            </w:r>
          </w:p>
          <w:p w:rsidR="008C34DB" w:rsidRDefault="008C34DB" w:rsidP="008C34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8C34DB">
              <w:rPr>
                <w:rFonts w:ascii="Arial" w:hAnsi="Arial" w:cs="Arial"/>
                <w:sz w:val="22"/>
              </w:rPr>
              <w:t>responsible for six Solicitors and one graduate Legal Assistant in addition to directing and controlling work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farmed-out to external firms of Solicitors;</w:t>
            </w:r>
          </w:p>
          <w:p w:rsidR="008C34DB" w:rsidRDefault="008C34DB" w:rsidP="008C34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8C34DB">
              <w:rPr>
                <w:rFonts w:ascii="Arial" w:hAnsi="Arial" w:cs="Arial"/>
                <w:sz w:val="22"/>
              </w:rPr>
              <w:t>occasional informal legal adviser to Bangladesh Ministry of Law, to PetroVietnam (Vietnamese State oil &amp;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gas company) and to New Zealand Ministry of Commerce (latter as member of panel of international lawyers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reviewing draft petroleum legislation and regulations);</w:t>
            </w:r>
          </w:p>
          <w:p w:rsidR="008C34DB" w:rsidRPr="008C34DB" w:rsidRDefault="008C34DB" w:rsidP="008C34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8C34DB">
              <w:rPr>
                <w:rFonts w:ascii="Arial" w:hAnsi="Arial" w:cs="Arial"/>
                <w:sz w:val="22"/>
              </w:rPr>
              <w:t>occasional visiting Lecturer at Centre for Energy, Petroleum and Mineral Law and Policy and at Faculty of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Law, University of Dundee including acting as referee or otherwise advising on Ph.D. and LL.M. theses on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Petroleum and Insurance Law;</w:t>
            </w:r>
          </w:p>
        </w:tc>
      </w:tr>
      <w:tr w:rsidR="008C34DB" w:rsidRPr="00606B1E" w:rsidTr="008C34DB">
        <w:tc>
          <w:tcPr>
            <w:tcW w:w="9990" w:type="dxa"/>
            <w:gridSpan w:val="5"/>
            <w:shd w:val="clear" w:color="auto" w:fill="D9D9D9" w:themeFill="background1" w:themeFillShade="D9"/>
          </w:tcPr>
          <w:p w:rsidR="008C34DB" w:rsidRDefault="008C34DB" w:rsidP="005629D0">
            <w:pPr>
              <w:spacing w:line="276" w:lineRule="auto"/>
              <w:ind w:right="27"/>
              <w:rPr>
                <w:rFonts w:ascii="Arial" w:hAnsi="Arial" w:cs="Arial"/>
                <w:b/>
                <w:sz w:val="22"/>
                <w:u w:val="single"/>
              </w:rPr>
            </w:pPr>
            <w:r w:rsidRPr="008C34DB">
              <w:rPr>
                <w:rFonts w:ascii="Arial" w:hAnsi="Arial" w:cs="Arial"/>
                <w:b/>
                <w:sz w:val="22"/>
                <w:u w:val="single"/>
              </w:rPr>
              <w:lastRenderedPageBreak/>
              <w:t>October 1993 to July 1995</w:t>
            </w:r>
          </w:p>
          <w:p w:rsidR="008C34DB" w:rsidRPr="008C34DB" w:rsidRDefault="008C34DB" w:rsidP="005629D0">
            <w:pPr>
              <w:spacing w:line="276" w:lineRule="auto"/>
              <w:ind w:right="27"/>
              <w:rPr>
                <w:rFonts w:ascii="Arial" w:hAnsi="Arial" w:cs="Arial"/>
                <w:b/>
                <w:sz w:val="22"/>
                <w:u w:val="single"/>
              </w:rPr>
            </w:pPr>
            <w:r w:rsidRPr="008C34DB">
              <w:rPr>
                <w:rFonts w:ascii="Arial" w:hAnsi="Arial" w:cs="Arial"/>
                <w:b/>
                <w:sz w:val="22"/>
                <w:u w:val="single"/>
              </w:rPr>
              <w:t>Legal Manager &amp; Compa</w:t>
            </w:r>
            <w:r>
              <w:rPr>
                <w:rFonts w:ascii="Arial" w:hAnsi="Arial" w:cs="Arial"/>
                <w:b/>
                <w:sz w:val="22"/>
                <w:u w:val="single"/>
              </w:rPr>
              <w:t>ny Secretary - Cairn Energy PLC</w:t>
            </w:r>
          </w:p>
        </w:tc>
      </w:tr>
      <w:tr w:rsidR="008C34DB" w:rsidRPr="00606B1E" w:rsidTr="00236015">
        <w:tc>
          <w:tcPr>
            <w:tcW w:w="9990" w:type="dxa"/>
            <w:gridSpan w:val="5"/>
          </w:tcPr>
          <w:p w:rsidR="008C34DB" w:rsidRDefault="008C34DB" w:rsidP="008C34DB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8C34DB">
              <w:rPr>
                <w:rFonts w:ascii="Arial" w:hAnsi="Arial" w:cs="Arial"/>
                <w:sz w:val="22"/>
              </w:rPr>
              <w:t>Promotion to Company Secretary w.e.f. 1st October 1993;</w:t>
            </w:r>
          </w:p>
          <w:p w:rsidR="008C34DB" w:rsidRDefault="008C34DB" w:rsidP="008C34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8C34DB">
              <w:rPr>
                <w:rFonts w:ascii="Arial" w:hAnsi="Arial" w:cs="Arial"/>
                <w:sz w:val="22"/>
              </w:rPr>
              <w:t>primary responsibility for both negotiations and completion of share option agreements, pursuant to which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Cairn took control of a listed independent oil &amp; gas company in The Netherlands, and for acquisition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documentation re that company including UK and Netherlands shareholder circulars; sole responsibility for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statutory buy-out of minority shareholders, achieved (apparently) in record time;</w:t>
            </w:r>
          </w:p>
          <w:p w:rsidR="008C34DB" w:rsidRDefault="008C34DB" w:rsidP="008C34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8C34DB">
              <w:rPr>
                <w:rFonts w:ascii="Arial" w:hAnsi="Arial" w:cs="Arial"/>
                <w:sz w:val="22"/>
              </w:rPr>
              <w:t>responsible for negotiations with Bangladesh Government over Cairn's taking an interest in, and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operatorship of, an offshore block including drafting all documentation under Bangladesh law; my redraft of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the Bangladesh Production Sharing Contract (PSC) has substantially become the official Bangladesh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standard-form PSC;</w:t>
            </w:r>
          </w:p>
          <w:p w:rsidR="008C34DB" w:rsidRDefault="008C34DB" w:rsidP="008C34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8C34DB">
              <w:rPr>
                <w:rFonts w:ascii="Arial" w:hAnsi="Arial" w:cs="Arial"/>
                <w:sz w:val="22"/>
              </w:rPr>
              <w:t>responsible for farm-in negotiations with US oil company entering into Vietnamese exploration, including US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law of the Embargo; these were completed prior to the lifting of the embargo - the only US oil company to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achieve an interest in Vietnam prior to the lift; responsible for subsequent negotiations with Vietnamese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authorities to allow US company to commence work in Vietnam;</w:t>
            </w:r>
          </w:p>
          <w:p w:rsidR="008C34DB" w:rsidRDefault="008C34DB" w:rsidP="008C34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8C34DB">
              <w:rPr>
                <w:rFonts w:ascii="Arial" w:hAnsi="Arial" w:cs="Arial"/>
                <w:sz w:val="22"/>
              </w:rPr>
              <w:t>primary responsibility for Cairn's entry into China including negotiation of Cairn's first Petroleum Contract with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a subsidiary of CNOOC;</w:t>
            </w:r>
          </w:p>
          <w:p w:rsidR="008C34DB" w:rsidRDefault="008C34DB" w:rsidP="008C34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8C34DB">
              <w:rPr>
                <w:rFonts w:ascii="Arial" w:hAnsi="Arial" w:cs="Arial"/>
                <w:sz w:val="22"/>
              </w:rPr>
              <w:t>primary responsibilities for negotiation of Share Purchase Agreement by which Cairn acquired a company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owning a substantial producing interest in the UK North Sea and thereby increased its daily production by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80%;</w:t>
            </w:r>
          </w:p>
          <w:p w:rsidR="008C34DB" w:rsidRDefault="008C34DB" w:rsidP="008C34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8C34DB">
              <w:rPr>
                <w:rFonts w:ascii="Arial" w:hAnsi="Arial" w:cs="Arial"/>
                <w:sz w:val="22"/>
              </w:rPr>
              <w:t>primary responsibility for legal implementation of divestment programme in respect of Cairn's US subsidiary,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including negotiations of share purchase agreements, public offering documentation, underwriting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agreements, SEC compliance etc;</w:t>
            </w:r>
          </w:p>
          <w:p w:rsidR="008C34DB" w:rsidRDefault="008C34DB" w:rsidP="008C34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8C34DB">
              <w:rPr>
                <w:rFonts w:ascii="Arial" w:hAnsi="Arial" w:cs="Arial"/>
                <w:sz w:val="22"/>
              </w:rPr>
              <w:t>planning and implementation of novel offer enabling small shareholders to exit Cairn shares commissionfree, reportedly only the second time this had been done in this way;</w:t>
            </w:r>
          </w:p>
          <w:p w:rsidR="008C34DB" w:rsidRDefault="008C34DB" w:rsidP="008C34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8C34DB">
              <w:rPr>
                <w:rFonts w:ascii="Arial" w:hAnsi="Arial" w:cs="Arial"/>
                <w:sz w:val="22"/>
              </w:rPr>
              <w:t>organised, spoke at and co-chaired international oil insurance conference in London; spoke at and/or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chaired other conferences;</w:t>
            </w:r>
          </w:p>
          <w:p w:rsidR="008C34DB" w:rsidRPr="008C34DB" w:rsidRDefault="008C34DB" w:rsidP="008C34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8C34DB">
              <w:rPr>
                <w:rFonts w:ascii="Arial" w:hAnsi="Arial" w:cs="Arial"/>
                <w:sz w:val="22"/>
              </w:rPr>
              <w:lastRenderedPageBreak/>
              <w:t>contributor to legal texts: "Insurance and Legal Issues in the Oil Industry" and "European Community Energy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Law" (published by Graham &amp; Trotman in 1993 and 1994 respectively)</w:t>
            </w:r>
          </w:p>
        </w:tc>
      </w:tr>
      <w:tr w:rsidR="008C34DB" w:rsidRPr="00606B1E" w:rsidTr="008C34DB">
        <w:tc>
          <w:tcPr>
            <w:tcW w:w="9990" w:type="dxa"/>
            <w:gridSpan w:val="5"/>
            <w:shd w:val="clear" w:color="auto" w:fill="D9D9D9" w:themeFill="background1" w:themeFillShade="D9"/>
          </w:tcPr>
          <w:p w:rsidR="008C34DB" w:rsidRPr="008C34DB" w:rsidRDefault="008C34DB" w:rsidP="008C34DB">
            <w:pPr>
              <w:spacing w:line="276" w:lineRule="auto"/>
              <w:ind w:right="27"/>
              <w:rPr>
                <w:rFonts w:ascii="Arial" w:hAnsi="Arial" w:cs="Arial"/>
                <w:b/>
                <w:sz w:val="22"/>
                <w:u w:val="single"/>
              </w:rPr>
            </w:pPr>
            <w:r w:rsidRPr="008C34DB">
              <w:rPr>
                <w:rFonts w:ascii="Arial" w:hAnsi="Arial" w:cs="Arial"/>
                <w:b/>
                <w:sz w:val="22"/>
                <w:u w:val="single"/>
              </w:rPr>
              <w:lastRenderedPageBreak/>
              <w:t>January 1991 to December 1998</w:t>
            </w:r>
          </w:p>
          <w:p w:rsidR="008C34DB" w:rsidRPr="008C34DB" w:rsidRDefault="008C34DB" w:rsidP="008C34DB">
            <w:pPr>
              <w:spacing w:line="276" w:lineRule="auto"/>
              <w:ind w:right="27"/>
              <w:rPr>
                <w:rFonts w:ascii="Arial" w:hAnsi="Arial" w:cs="Arial"/>
                <w:b/>
                <w:sz w:val="22"/>
              </w:rPr>
            </w:pPr>
            <w:r w:rsidRPr="008C34DB">
              <w:rPr>
                <w:rFonts w:ascii="Arial" w:hAnsi="Arial" w:cs="Arial"/>
                <w:b/>
                <w:sz w:val="22"/>
              </w:rPr>
              <w:t>E&amp;P Forum Legal Committee: Member/Vice-Chairman</w:t>
            </w:r>
          </w:p>
          <w:p w:rsidR="008C34DB" w:rsidRPr="008C34DB" w:rsidRDefault="008C34DB" w:rsidP="008C34DB">
            <w:pPr>
              <w:spacing w:line="276" w:lineRule="auto"/>
              <w:ind w:right="27"/>
              <w:rPr>
                <w:rFonts w:ascii="Arial" w:hAnsi="Arial" w:cs="Arial"/>
                <w:b/>
                <w:sz w:val="22"/>
                <w:u w:val="single"/>
              </w:rPr>
            </w:pPr>
            <w:r w:rsidRPr="008C34DB">
              <w:rPr>
                <w:rFonts w:ascii="Arial" w:hAnsi="Arial" w:cs="Arial"/>
                <w:b/>
                <w:sz w:val="22"/>
                <w:u w:val="single"/>
              </w:rPr>
              <w:t>January 1991 to March 1999</w:t>
            </w:r>
          </w:p>
          <w:p w:rsidR="008C34DB" w:rsidRDefault="008C34DB" w:rsidP="008C34DB">
            <w:pPr>
              <w:spacing w:line="276" w:lineRule="auto"/>
              <w:ind w:right="27"/>
              <w:rPr>
                <w:rFonts w:ascii="Arial" w:hAnsi="Arial" w:cs="Arial"/>
                <w:b/>
                <w:sz w:val="22"/>
              </w:rPr>
            </w:pPr>
            <w:r w:rsidRPr="008C34DB">
              <w:rPr>
                <w:rFonts w:ascii="Arial" w:hAnsi="Arial" w:cs="Arial"/>
                <w:b/>
                <w:sz w:val="22"/>
              </w:rPr>
              <w:t>E&amp;P Forum Insurance Sub-Committee: Chairman</w:t>
            </w:r>
          </w:p>
          <w:p w:rsidR="008C34DB" w:rsidRPr="008C34DB" w:rsidRDefault="008C34DB" w:rsidP="008C34DB">
            <w:pPr>
              <w:spacing w:line="276" w:lineRule="auto"/>
              <w:ind w:right="27"/>
              <w:rPr>
                <w:rFonts w:ascii="Arial" w:hAnsi="Arial" w:cs="Arial"/>
                <w:b/>
                <w:sz w:val="22"/>
                <w:u w:val="single"/>
              </w:rPr>
            </w:pPr>
            <w:r w:rsidRPr="008C34DB">
              <w:rPr>
                <w:rFonts w:ascii="Arial" w:hAnsi="Arial" w:cs="Arial"/>
                <w:b/>
                <w:sz w:val="22"/>
                <w:u w:val="single"/>
              </w:rPr>
              <w:t>Legal Adviser – BRINDEX</w:t>
            </w:r>
          </w:p>
        </w:tc>
      </w:tr>
      <w:tr w:rsidR="008C34DB" w:rsidRPr="00606B1E" w:rsidTr="00236015">
        <w:tc>
          <w:tcPr>
            <w:tcW w:w="9990" w:type="dxa"/>
            <w:gridSpan w:val="5"/>
          </w:tcPr>
          <w:p w:rsidR="008C34DB" w:rsidRPr="008C34DB" w:rsidRDefault="008C34DB" w:rsidP="008C34DB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8C34DB">
              <w:rPr>
                <w:rFonts w:ascii="Arial" w:hAnsi="Arial" w:cs="Arial"/>
                <w:sz w:val="22"/>
              </w:rPr>
              <w:t>BRINDEX: Association of British Oil Exploration Companies; E&amp;P Forum: Oil Industry International Exploration</w:t>
            </w:r>
          </w:p>
          <w:p w:rsidR="008C34DB" w:rsidRDefault="008C34DB" w:rsidP="008C34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8C34DB">
              <w:rPr>
                <w:rFonts w:ascii="Arial" w:hAnsi="Arial" w:cs="Arial"/>
                <w:sz w:val="22"/>
              </w:rPr>
              <w:t>and Production Forum, which represents the worldwide oil industry at Governmental level, principally with the EC;</w:t>
            </w:r>
          </w:p>
          <w:p w:rsidR="008C34DB" w:rsidRDefault="008C34DB" w:rsidP="008C34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8C34DB">
              <w:rPr>
                <w:rFonts w:ascii="Arial" w:hAnsi="Arial" w:cs="Arial"/>
                <w:sz w:val="22"/>
              </w:rPr>
              <w:t>occasional (as required) Legal adviser to BRINDEX and its representative on the E&amp;P Forum Legal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Committee; appointed Vice-Chairman of E&amp;P Forum Legal Committee October 1992. founding Chairman of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Insurance Sub-Committee October 1993; work to date includes:</w:t>
            </w:r>
          </w:p>
          <w:p w:rsidR="008C34DB" w:rsidRDefault="008C34DB" w:rsidP="008C34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8C34DB">
              <w:rPr>
                <w:rFonts w:ascii="Arial" w:hAnsi="Arial" w:cs="Arial"/>
                <w:sz w:val="22"/>
              </w:rPr>
              <w:t>assessment of effects of draft Seveso Directive on UK Onshore Oilfield Installations; analysis of Services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Directive's effect on BRINDEX members;</w:t>
            </w:r>
          </w:p>
          <w:p w:rsidR="008C34DB" w:rsidRDefault="008C34DB" w:rsidP="008C34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8C34DB">
              <w:rPr>
                <w:rFonts w:ascii="Arial" w:hAnsi="Arial" w:cs="Arial"/>
                <w:sz w:val="22"/>
              </w:rPr>
              <w:t>analysis of Licensing Directive's effect on BRINDEX/UKOOG members;</w:t>
            </w:r>
          </w:p>
          <w:p w:rsidR="008C34DB" w:rsidRDefault="008C34DB" w:rsidP="008C34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8C34DB">
              <w:rPr>
                <w:rFonts w:ascii="Arial" w:hAnsi="Arial" w:cs="Arial"/>
                <w:sz w:val="22"/>
              </w:rPr>
              <w:t>preparation of substantial paper on the effect of the Services Directive on Insurance Contracts, for the E&amp;P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Forum to submit to the EC direct. Representation of European Oil Industry in negotiations with European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Commission (DG III) in Brussels;</w:t>
            </w:r>
          </w:p>
          <w:p w:rsidR="008C34DB" w:rsidRDefault="008C34DB" w:rsidP="008C34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8C34DB">
              <w:rPr>
                <w:rFonts w:ascii="Arial" w:hAnsi="Arial" w:cs="Arial"/>
                <w:sz w:val="22"/>
              </w:rPr>
              <w:t>provision of legal advice concerning draft Directives to form basis for submission of position papers to the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34DB">
              <w:rPr>
                <w:rFonts w:ascii="Arial" w:hAnsi="Arial" w:cs="Arial"/>
                <w:sz w:val="22"/>
              </w:rPr>
              <w:t>European Commission;</w:t>
            </w:r>
          </w:p>
          <w:p w:rsidR="008C34DB" w:rsidRDefault="008C34DB" w:rsidP="008C34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8C34DB">
              <w:rPr>
                <w:rFonts w:ascii="Arial" w:hAnsi="Arial" w:cs="Arial"/>
                <w:sz w:val="22"/>
              </w:rPr>
              <w:t>ad-hoc advice of matters directly affecting the E&amp;P Forum;</w:t>
            </w:r>
          </w:p>
          <w:p w:rsidR="008C34DB" w:rsidRPr="008C34DB" w:rsidRDefault="008C34DB" w:rsidP="008C34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8C34DB">
              <w:rPr>
                <w:rFonts w:ascii="Arial" w:hAnsi="Arial" w:cs="Arial"/>
                <w:sz w:val="22"/>
              </w:rPr>
              <w:t>organising, and speaking at, international oil insurance conference fo</w:t>
            </w:r>
            <w:r>
              <w:rPr>
                <w:rFonts w:ascii="Arial" w:hAnsi="Arial" w:cs="Arial"/>
                <w:sz w:val="22"/>
              </w:rPr>
              <w:t xml:space="preserve">r the Forum; editing book of the </w:t>
            </w:r>
            <w:r w:rsidRPr="008C34DB">
              <w:rPr>
                <w:rFonts w:ascii="Arial" w:hAnsi="Arial" w:cs="Arial"/>
                <w:sz w:val="22"/>
              </w:rPr>
              <w:t>Proceedings.</w:t>
            </w:r>
          </w:p>
        </w:tc>
      </w:tr>
      <w:tr w:rsidR="008C34DB" w:rsidRPr="00606B1E" w:rsidTr="00236015">
        <w:tc>
          <w:tcPr>
            <w:tcW w:w="9990" w:type="dxa"/>
            <w:gridSpan w:val="5"/>
          </w:tcPr>
          <w:p w:rsidR="005362AD" w:rsidRPr="005362AD" w:rsidRDefault="005362AD" w:rsidP="005362AD">
            <w:pPr>
              <w:spacing w:line="276" w:lineRule="auto"/>
              <w:ind w:right="27"/>
              <w:rPr>
                <w:rFonts w:ascii="Arial" w:hAnsi="Arial" w:cs="Arial"/>
                <w:b/>
                <w:sz w:val="22"/>
                <w:u w:val="single"/>
              </w:rPr>
            </w:pPr>
            <w:r w:rsidRPr="005362AD">
              <w:rPr>
                <w:rFonts w:ascii="Arial" w:hAnsi="Arial" w:cs="Arial"/>
                <w:b/>
                <w:sz w:val="22"/>
                <w:u w:val="single"/>
              </w:rPr>
              <w:t>January 1991 to September 1993</w:t>
            </w:r>
          </w:p>
          <w:p w:rsidR="008C34DB" w:rsidRPr="008C34DB" w:rsidRDefault="005362AD" w:rsidP="005362AD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5362AD">
              <w:rPr>
                <w:rFonts w:ascii="Arial" w:hAnsi="Arial" w:cs="Arial"/>
                <w:b/>
                <w:sz w:val="22"/>
                <w:u w:val="single"/>
              </w:rPr>
              <w:t>Legal Manager - Cairn Energy PLC</w:t>
            </w:r>
          </w:p>
        </w:tc>
      </w:tr>
      <w:tr w:rsidR="005362AD" w:rsidRPr="00606B1E" w:rsidTr="00236015">
        <w:tc>
          <w:tcPr>
            <w:tcW w:w="9990" w:type="dxa"/>
            <w:gridSpan w:val="5"/>
          </w:tcPr>
          <w:p w:rsidR="005362AD" w:rsidRPr="005362AD" w:rsidRDefault="005362AD" w:rsidP="005362AD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5362AD">
              <w:rPr>
                <w:rFonts w:ascii="Arial" w:hAnsi="Arial" w:cs="Arial"/>
                <w:sz w:val="22"/>
              </w:rPr>
              <w:t>Joined permanent staff w.e.f. 1st January 1991, with promotion to Legal Manager:</w:t>
            </w:r>
          </w:p>
          <w:p w:rsidR="005362AD" w:rsidRDefault="005362AD" w:rsidP="005362A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5362AD">
              <w:rPr>
                <w:rFonts w:ascii="Arial" w:hAnsi="Arial" w:cs="Arial"/>
                <w:sz w:val="22"/>
              </w:rPr>
              <w:t>responsible for negotiations with Vietnamese Government over Cairn's assumption of operatorship of</w:t>
            </w:r>
            <w:r>
              <w:rPr>
                <w:rFonts w:ascii="Arial" w:hAnsi="Arial" w:cs="Arial"/>
                <w:sz w:val="22"/>
              </w:rPr>
              <w:t xml:space="preserve"> o</w:t>
            </w:r>
            <w:r w:rsidRPr="005362AD">
              <w:rPr>
                <w:rFonts w:ascii="Arial" w:hAnsi="Arial" w:cs="Arial"/>
                <w:sz w:val="22"/>
              </w:rPr>
              <w:t>ffshore block including drafting all documentation under Vietnamese law; responsible for setting up Cairn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5362AD">
              <w:rPr>
                <w:rFonts w:ascii="Arial" w:hAnsi="Arial" w:cs="Arial"/>
                <w:sz w:val="22"/>
              </w:rPr>
              <w:t>office in Hô Chí Minh City; subsequently appointed General Director (ie local M/D) in overall charge of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5362AD">
              <w:rPr>
                <w:rFonts w:ascii="Arial" w:hAnsi="Arial" w:cs="Arial"/>
                <w:sz w:val="22"/>
              </w:rPr>
              <w:t>Cairn's Vietnamese venture;</w:t>
            </w:r>
          </w:p>
          <w:p w:rsidR="005362AD" w:rsidRDefault="005362AD" w:rsidP="005362A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5362AD">
              <w:rPr>
                <w:rFonts w:ascii="Arial" w:hAnsi="Arial" w:cs="Arial"/>
                <w:sz w:val="22"/>
              </w:rPr>
              <w:t>prepared extensive analysis of draft Vietnam Petroleum Law at request of PetroVietnam;</w:t>
            </w:r>
          </w:p>
          <w:p w:rsidR="005362AD" w:rsidRDefault="005362AD" w:rsidP="005362A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5362AD">
              <w:rPr>
                <w:rFonts w:ascii="Arial" w:hAnsi="Arial" w:cs="Arial"/>
                <w:sz w:val="22"/>
              </w:rPr>
              <w:t>responsible for legal/commercial aspects of Cairn's operations in Vietnam, Papua New Guinea, Bangladesh,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5362AD">
              <w:rPr>
                <w:rFonts w:ascii="Arial" w:hAnsi="Arial" w:cs="Arial"/>
                <w:sz w:val="22"/>
              </w:rPr>
              <w:t>Thailand and New Zealand including licence/contract/JOA negotiations with Ministries/Co-Venturers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EA3586" w:rsidRDefault="005362AD" w:rsidP="005362A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5362AD">
              <w:rPr>
                <w:rFonts w:ascii="Arial" w:hAnsi="Arial" w:cs="Arial"/>
                <w:sz w:val="22"/>
              </w:rPr>
              <w:t>responsible for major acquisition, farm-in and other contract development, drafting negotiation and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5362AD">
              <w:rPr>
                <w:rFonts w:ascii="Arial" w:hAnsi="Arial" w:cs="Arial"/>
                <w:sz w:val="22"/>
              </w:rPr>
              <w:t>finalisation; significant contribution to major Farm-In/JOA negotiation under New Zealand law;</w:t>
            </w:r>
          </w:p>
          <w:p w:rsidR="00EA3586" w:rsidRDefault="005362AD" w:rsidP="005362A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EA3586">
              <w:rPr>
                <w:rFonts w:ascii="Arial" w:hAnsi="Arial" w:cs="Arial"/>
                <w:sz w:val="22"/>
              </w:rPr>
              <w:t>responsible for taking Cairn into petroleum price hedging, including all legal research and negotiation of</w:t>
            </w:r>
            <w:r w:rsidR="00EA3586">
              <w:rPr>
                <w:rFonts w:ascii="Arial" w:hAnsi="Arial" w:cs="Arial"/>
                <w:sz w:val="22"/>
              </w:rPr>
              <w:t xml:space="preserve"> </w:t>
            </w:r>
            <w:r w:rsidRPr="00EA3586">
              <w:rPr>
                <w:rFonts w:ascii="Arial" w:hAnsi="Arial" w:cs="Arial"/>
                <w:sz w:val="22"/>
              </w:rPr>
              <w:t>contracts with banks, crude traders et al;</w:t>
            </w:r>
          </w:p>
          <w:p w:rsidR="00EA3586" w:rsidRDefault="005362AD" w:rsidP="005362A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EA3586">
              <w:rPr>
                <w:rFonts w:ascii="Arial" w:hAnsi="Arial" w:cs="Arial"/>
                <w:sz w:val="22"/>
              </w:rPr>
              <w:t>recruitment, training and supervision of Legal Assistant;</w:t>
            </w:r>
          </w:p>
          <w:p w:rsidR="00EA3586" w:rsidRDefault="005362AD" w:rsidP="005362A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EA3586">
              <w:rPr>
                <w:rFonts w:ascii="Arial" w:hAnsi="Arial" w:cs="Arial"/>
                <w:sz w:val="22"/>
              </w:rPr>
              <w:t>representation of Cairn at BRINDEX Executive meetings (M/D level);</w:t>
            </w:r>
          </w:p>
          <w:p w:rsidR="00EA3586" w:rsidRDefault="005362AD" w:rsidP="005362A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EA3586">
              <w:rPr>
                <w:rFonts w:ascii="Arial" w:hAnsi="Arial" w:cs="Arial"/>
                <w:sz w:val="22"/>
              </w:rPr>
              <w:t>articles published in Oil &amp; Gas Law &amp; Taxation Review, University of Kentucky Journal of Natural Resources</w:t>
            </w:r>
            <w:r w:rsidR="00EA3586">
              <w:rPr>
                <w:rFonts w:ascii="Arial" w:hAnsi="Arial" w:cs="Arial"/>
                <w:sz w:val="22"/>
              </w:rPr>
              <w:t xml:space="preserve"> </w:t>
            </w:r>
            <w:r w:rsidRPr="00EA3586">
              <w:rPr>
                <w:rFonts w:ascii="Arial" w:hAnsi="Arial" w:cs="Arial"/>
                <w:sz w:val="22"/>
              </w:rPr>
              <w:t>Law;</w:t>
            </w:r>
          </w:p>
          <w:p w:rsidR="00EA3586" w:rsidRDefault="005362AD" w:rsidP="005362A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EA3586">
              <w:rPr>
                <w:rFonts w:ascii="Arial" w:hAnsi="Arial" w:cs="Arial"/>
                <w:sz w:val="22"/>
              </w:rPr>
              <w:t>visiting Lecturer at Faculty of Law, University of Dundee;</w:t>
            </w:r>
          </w:p>
          <w:p w:rsidR="005362AD" w:rsidRPr="00EA3586" w:rsidRDefault="005362AD" w:rsidP="005362A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EA3586">
              <w:rPr>
                <w:rFonts w:ascii="Arial" w:hAnsi="Arial" w:cs="Arial"/>
                <w:sz w:val="22"/>
              </w:rPr>
              <w:lastRenderedPageBreak/>
              <w:t>co-chaired and spoke at annual international oil &amp; gas law conference in Dundee and at other legal</w:t>
            </w:r>
            <w:r w:rsidR="00EA3586">
              <w:rPr>
                <w:rFonts w:ascii="Arial" w:hAnsi="Arial" w:cs="Arial"/>
                <w:sz w:val="22"/>
              </w:rPr>
              <w:t xml:space="preserve"> </w:t>
            </w:r>
            <w:r w:rsidRPr="00EA3586">
              <w:rPr>
                <w:rFonts w:ascii="Arial" w:hAnsi="Arial" w:cs="Arial"/>
                <w:sz w:val="22"/>
              </w:rPr>
              <w:t>conferences.</w:t>
            </w:r>
          </w:p>
        </w:tc>
      </w:tr>
      <w:tr w:rsidR="005362AD" w:rsidRPr="00606B1E" w:rsidTr="00CB7FC5">
        <w:tc>
          <w:tcPr>
            <w:tcW w:w="9990" w:type="dxa"/>
            <w:gridSpan w:val="5"/>
            <w:shd w:val="clear" w:color="auto" w:fill="D9D9D9" w:themeFill="background1" w:themeFillShade="D9"/>
          </w:tcPr>
          <w:p w:rsidR="00EA3586" w:rsidRPr="00CB7FC5" w:rsidRDefault="00EA3586" w:rsidP="00EA3586">
            <w:pPr>
              <w:spacing w:line="276" w:lineRule="auto"/>
              <w:ind w:right="27"/>
              <w:rPr>
                <w:rFonts w:ascii="Arial" w:hAnsi="Arial" w:cs="Arial"/>
                <w:b/>
                <w:sz w:val="22"/>
                <w:u w:val="single"/>
              </w:rPr>
            </w:pPr>
            <w:r w:rsidRPr="00CB7FC5">
              <w:rPr>
                <w:rFonts w:ascii="Arial" w:hAnsi="Arial" w:cs="Arial"/>
                <w:b/>
                <w:sz w:val="22"/>
                <w:u w:val="single"/>
              </w:rPr>
              <w:lastRenderedPageBreak/>
              <w:t>November 1984 to December 1990</w:t>
            </w:r>
          </w:p>
          <w:p w:rsidR="00EA3586" w:rsidRPr="00CB7FC5" w:rsidRDefault="00EA3586" w:rsidP="00EA3586">
            <w:pPr>
              <w:spacing w:line="276" w:lineRule="auto"/>
              <w:ind w:right="27"/>
              <w:rPr>
                <w:rFonts w:ascii="Arial" w:hAnsi="Arial" w:cs="Arial"/>
                <w:b/>
                <w:sz w:val="22"/>
                <w:u w:val="single"/>
              </w:rPr>
            </w:pPr>
            <w:r w:rsidRPr="00CB7FC5">
              <w:rPr>
                <w:rFonts w:ascii="Arial" w:hAnsi="Arial" w:cs="Arial"/>
                <w:b/>
                <w:sz w:val="22"/>
                <w:u w:val="single"/>
              </w:rPr>
              <w:t>Consultant becoming Legal Co-Ordinator Cairn Energy PLC</w:t>
            </w:r>
          </w:p>
          <w:p w:rsidR="005362AD" w:rsidRPr="008C34DB" w:rsidRDefault="00EA3586" w:rsidP="00EA358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EA3586">
              <w:rPr>
                <w:rFonts w:ascii="Arial" w:hAnsi="Arial" w:cs="Arial"/>
                <w:sz w:val="22"/>
              </w:rPr>
              <w:t>Created, developed and managed two distinct businesses as sole proprietor:</w:t>
            </w:r>
          </w:p>
        </w:tc>
      </w:tr>
      <w:tr w:rsidR="005362AD" w:rsidRPr="00606B1E" w:rsidTr="00236015">
        <w:tc>
          <w:tcPr>
            <w:tcW w:w="9990" w:type="dxa"/>
            <w:gridSpan w:val="5"/>
          </w:tcPr>
          <w:p w:rsidR="00CB7FC5" w:rsidRPr="00CB7FC5" w:rsidRDefault="00CB7FC5" w:rsidP="00CB7FC5">
            <w:pPr>
              <w:spacing w:line="276" w:lineRule="auto"/>
              <w:ind w:right="27"/>
              <w:rPr>
                <w:rFonts w:ascii="Arial" w:hAnsi="Arial" w:cs="Arial"/>
                <w:b/>
                <w:sz w:val="22"/>
                <w:u w:val="single"/>
              </w:rPr>
            </w:pPr>
            <w:r w:rsidRPr="00CB7FC5">
              <w:rPr>
                <w:rFonts w:ascii="Arial" w:hAnsi="Arial" w:cs="Arial"/>
                <w:b/>
                <w:sz w:val="22"/>
                <w:u w:val="single"/>
              </w:rPr>
              <w:t>Petroleum Consultant</w:t>
            </w:r>
          </w:p>
          <w:p w:rsidR="00CB7FC5" w:rsidRPr="00CB7FC5" w:rsidRDefault="00CB7FC5" w:rsidP="00CB7FC5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CB7FC5">
              <w:rPr>
                <w:rFonts w:ascii="Arial" w:hAnsi="Arial" w:cs="Arial"/>
                <w:sz w:val="22"/>
              </w:rPr>
              <w:t>Advised range of clients, both individual and corporate, on commercial, legal and tax aspects of the petroleum</w:t>
            </w:r>
          </w:p>
          <w:p w:rsidR="00CB7FC5" w:rsidRPr="00CB7FC5" w:rsidRDefault="00CB7FC5" w:rsidP="00CB7FC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CB7FC5">
              <w:rPr>
                <w:rFonts w:ascii="Arial" w:hAnsi="Arial" w:cs="Arial"/>
                <w:sz w:val="22"/>
              </w:rPr>
              <w:t>industry, both in the UK and internationally; areas of consultancy included the following:</w:t>
            </w:r>
          </w:p>
          <w:p w:rsidR="00CB7FC5" w:rsidRDefault="00CB7FC5" w:rsidP="00CB7FC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CB7FC5">
              <w:rPr>
                <w:rFonts w:ascii="Arial" w:hAnsi="Arial" w:cs="Arial"/>
                <w:sz w:val="22"/>
              </w:rPr>
              <w:t>tax haven analysis related</w:t>
            </w:r>
            <w:r>
              <w:rPr>
                <w:rFonts w:ascii="Arial" w:hAnsi="Arial" w:cs="Arial"/>
                <w:sz w:val="22"/>
              </w:rPr>
              <w:t xml:space="preserve"> to offshore drilling ventures;</w:t>
            </w:r>
          </w:p>
          <w:p w:rsidR="00CB7FC5" w:rsidRPr="00CB7FC5" w:rsidRDefault="00CB7FC5" w:rsidP="00CB7FC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CB7FC5">
              <w:rPr>
                <w:rFonts w:ascii="Arial" w:hAnsi="Arial" w:cs="Arial"/>
                <w:sz w:val="22"/>
              </w:rPr>
              <w:t>investigation of offshore banking regulations;</w:t>
            </w:r>
          </w:p>
          <w:p w:rsidR="00CB7FC5" w:rsidRPr="00CB7FC5" w:rsidRDefault="00CB7FC5" w:rsidP="00CB7FC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CB7FC5">
              <w:rPr>
                <w:rFonts w:ascii="Arial" w:hAnsi="Arial" w:cs="Arial"/>
                <w:sz w:val="22"/>
              </w:rPr>
              <w:t>advice on legal structuring of international petroleum ventures;</w:t>
            </w:r>
          </w:p>
          <w:p w:rsidR="00CB7FC5" w:rsidRPr="00CB7FC5" w:rsidRDefault="00CB7FC5" w:rsidP="00CB7FC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CB7FC5">
              <w:rPr>
                <w:rFonts w:ascii="Arial" w:hAnsi="Arial" w:cs="Arial"/>
                <w:sz w:val="22"/>
              </w:rPr>
              <w:t>economic and commercial analysis of petroleum ventures;</w:t>
            </w:r>
          </w:p>
          <w:p w:rsidR="005362AD" w:rsidRPr="008C34DB" w:rsidRDefault="00CB7FC5" w:rsidP="00CB7FC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CB7FC5">
              <w:rPr>
                <w:rFonts w:ascii="Arial" w:hAnsi="Arial" w:cs="Arial"/>
                <w:sz w:val="22"/>
              </w:rPr>
              <w:t>advice on UK petroleum law and taxation.</w:t>
            </w:r>
          </w:p>
        </w:tc>
      </w:tr>
      <w:tr w:rsidR="005362AD" w:rsidRPr="00606B1E" w:rsidTr="00236015">
        <w:tc>
          <w:tcPr>
            <w:tcW w:w="9990" w:type="dxa"/>
            <w:gridSpan w:val="5"/>
          </w:tcPr>
          <w:p w:rsidR="00CB7FC5" w:rsidRPr="00CB7FC5" w:rsidRDefault="00CB7FC5" w:rsidP="00CB7FC5">
            <w:pPr>
              <w:spacing w:line="276" w:lineRule="auto"/>
              <w:ind w:right="27"/>
              <w:rPr>
                <w:rFonts w:ascii="Arial" w:hAnsi="Arial" w:cs="Arial"/>
                <w:b/>
                <w:sz w:val="22"/>
                <w:u w:val="single"/>
              </w:rPr>
            </w:pPr>
            <w:r w:rsidRPr="00CB7FC5">
              <w:rPr>
                <w:rFonts w:ascii="Arial" w:hAnsi="Arial" w:cs="Arial"/>
                <w:b/>
                <w:sz w:val="22"/>
                <w:u w:val="single"/>
              </w:rPr>
              <w:t>Legal Co-Ordinator - Cairn Energy PLC</w:t>
            </w:r>
          </w:p>
          <w:p w:rsidR="00CB7FC5" w:rsidRPr="00CB7FC5" w:rsidRDefault="00CB7FC5" w:rsidP="00CB7FC5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CB7FC5">
              <w:rPr>
                <w:rFonts w:ascii="Arial" w:hAnsi="Arial" w:cs="Arial"/>
                <w:sz w:val="22"/>
              </w:rPr>
              <w:t>From February 1990, commenced major contract for Cairn Energy PLC, precursor t</w:t>
            </w:r>
            <w:r>
              <w:rPr>
                <w:rFonts w:ascii="Arial" w:hAnsi="Arial" w:cs="Arial"/>
                <w:sz w:val="22"/>
              </w:rPr>
              <w:t xml:space="preserve">o permanent position, initially </w:t>
            </w:r>
            <w:r w:rsidRPr="00CB7FC5">
              <w:rPr>
                <w:rFonts w:ascii="Arial" w:hAnsi="Arial" w:cs="Arial"/>
                <w:sz w:val="22"/>
              </w:rPr>
              <w:t>50% of time, rising to 100% from July 1990 following appointment as Legal Co-Ordinator with remit to:</w:t>
            </w:r>
          </w:p>
          <w:p w:rsidR="00CB7FC5" w:rsidRPr="00CB7FC5" w:rsidRDefault="00CB7FC5" w:rsidP="00CB7FC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CB7FC5">
              <w:rPr>
                <w:rFonts w:ascii="Arial" w:hAnsi="Arial" w:cs="Arial"/>
                <w:sz w:val="22"/>
              </w:rPr>
              <w:t>create and manage a Legal Department (which Cairn had not previously had);</w:t>
            </w:r>
          </w:p>
          <w:p w:rsidR="00CB7FC5" w:rsidRPr="00CB7FC5" w:rsidRDefault="00CB7FC5" w:rsidP="00CB7FC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CB7FC5">
              <w:rPr>
                <w:rFonts w:ascii="Arial" w:hAnsi="Arial" w:cs="Arial"/>
                <w:sz w:val="22"/>
              </w:rPr>
              <w:t>design, install and manage corporate legal control procedures;</w:t>
            </w:r>
          </w:p>
          <w:p w:rsidR="00CB7FC5" w:rsidRPr="00CB7FC5" w:rsidRDefault="00CB7FC5" w:rsidP="00CB7FC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CB7FC5">
              <w:rPr>
                <w:rFonts w:ascii="Arial" w:hAnsi="Arial" w:cs="Arial"/>
                <w:sz w:val="22"/>
              </w:rPr>
              <w:t>responsible for all Cairn's licence-related legal work, both UK and international;</w:t>
            </w:r>
          </w:p>
          <w:p w:rsidR="00CB7FC5" w:rsidRPr="00CB7FC5" w:rsidRDefault="00CB7FC5" w:rsidP="00CB7FC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CB7FC5">
              <w:rPr>
                <w:rFonts w:ascii="Arial" w:hAnsi="Arial" w:cs="Arial"/>
                <w:sz w:val="22"/>
              </w:rPr>
              <w:t>provide legal advice to the Board/Senior Management as required;</w:t>
            </w:r>
          </w:p>
          <w:p w:rsidR="00CB7FC5" w:rsidRPr="00CB7FC5" w:rsidRDefault="00CB7FC5" w:rsidP="00CB7FC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CB7FC5">
              <w:rPr>
                <w:rFonts w:ascii="Arial" w:hAnsi="Arial" w:cs="Arial"/>
                <w:sz w:val="22"/>
              </w:rPr>
              <w:t>negotiate major agreements (eg JOAs/SPAs);</w:t>
            </w:r>
          </w:p>
          <w:p w:rsidR="00CB7FC5" w:rsidRPr="00CB7FC5" w:rsidRDefault="00CB7FC5" w:rsidP="00CB7FC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CB7FC5">
              <w:rPr>
                <w:rFonts w:ascii="Arial" w:hAnsi="Arial" w:cs="Arial"/>
                <w:sz w:val="22"/>
              </w:rPr>
              <w:t>co-ordinate licence applications in UK and International;</w:t>
            </w:r>
          </w:p>
          <w:p w:rsidR="005362AD" w:rsidRPr="008C34DB" w:rsidRDefault="00CB7FC5" w:rsidP="00CB7FC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CB7FC5">
              <w:rPr>
                <w:rFonts w:ascii="Arial" w:hAnsi="Arial" w:cs="Arial"/>
                <w:sz w:val="22"/>
              </w:rPr>
              <w:t>other legal/commercial work as required.</w:t>
            </w:r>
          </w:p>
        </w:tc>
      </w:tr>
      <w:tr w:rsidR="005362AD" w:rsidRPr="00606B1E" w:rsidTr="00236015">
        <w:tc>
          <w:tcPr>
            <w:tcW w:w="9990" w:type="dxa"/>
            <w:gridSpan w:val="5"/>
          </w:tcPr>
          <w:p w:rsidR="00CB7FC5" w:rsidRPr="00CB7FC5" w:rsidRDefault="00CB7FC5" w:rsidP="00CB7FC5">
            <w:pPr>
              <w:spacing w:line="276" w:lineRule="auto"/>
              <w:ind w:right="27"/>
              <w:rPr>
                <w:rFonts w:ascii="Arial" w:hAnsi="Arial" w:cs="Arial"/>
                <w:b/>
                <w:sz w:val="22"/>
                <w:u w:val="single"/>
              </w:rPr>
            </w:pPr>
            <w:r w:rsidRPr="00CB7FC5">
              <w:rPr>
                <w:rFonts w:ascii="Arial" w:hAnsi="Arial" w:cs="Arial"/>
                <w:b/>
                <w:sz w:val="22"/>
                <w:u w:val="single"/>
              </w:rPr>
              <w:t>Motorsports Consultant</w:t>
            </w:r>
          </w:p>
          <w:p w:rsidR="00CB7FC5" w:rsidRPr="00CB7FC5" w:rsidRDefault="00CB7FC5" w:rsidP="00CB7FC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CB7FC5">
              <w:rPr>
                <w:rFonts w:ascii="Arial" w:hAnsi="Arial" w:cs="Arial"/>
                <w:sz w:val="22"/>
              </w:rPr>
              <w:t>Developed principal hobby into highly successful motorsports business with international reputation:</w:t>
            </w:r>
          </w:p>
          <w:p w:rsidR="00CB7FC5" w:rsidRPr="00CB7FC5" w:rsidRDefault="00CB7FC5" w:rsidP="00CB7FC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CB7FC5">
              <w:rPr>
                <w:rFonts w:ascii="Arial" w:hAnsi="Arial" w:cs="Arial"/>
                <w:sz w:val="22"/>
              </w:rPr>
              <w:t>won 53 races in five years in the UK and on the Continent</w:t>
            </w:r>
          </w:p>
          <w:p w:rsidR="00CB7FC5" w:rsidRPr="00CB7FC5" w:rsidRDefault="00CB7FC5" w:rsidP="00CB7FC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CB7FC5">
              <w:rPr>
                <w:rFonts w:ascii="Arial" w:hAnsi="Arial" w:cs="Arial"/>
                <w:sz w:val="22"/>
              </w:rPr>
              <w:t>won three major championships, with three runner-up positions, including two 1-2s</w:t>
            </w:r>
          </w:p>
          <w:p w:rsidR="00CB7FC5" w:rsidRPr="00CB7FC5" w:rsidRDefault="00CB7FC5" w:rsidP="00CB7FC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CB7FC5">
              <w:rPr>
                <w:rFonts w:ascii="Arial" w:hAnsi="Arial" w:cs="Arial"/>
                <w:sz w:val="22"/>
              </w:rPr>
              <w:t>100% finishing record in 90+ races in main championship race series, a consistency record without parallel;</w:t>
            </w:r>
          </w:p>
          <w:p w:rsidR="00CB7FC5" w:rsidRPr="00CB7FC5" w:rsidRDefault="00CB7FC5" w:rsidP="00CB7FC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CB7FC5">
              <w:rPr>
                <w:rFonts w:ascii="Arial" w:hAnsi="Arial" w:cs="Arial"/>
                <w:sz w:val="22"/>
              </w:rPr>
              <w:t>covered all legal, contractual, insurance and other commercial matters,</w:t>
            </w:r>
          </w:p>
          <w:p w:rsidR="00CB7FC5" w:rsidRPr="00CB7FC5" w:rsidRDefault="00CB7FC5" w:rsidP="00CB7FC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CB7FC5">
              <w:rPr>
                <w:rFonts w:ascii="Arial" w:hAnsi="Arial" w:cs="Arial"/>
                <w:sz w:val="22"/>
              </w:rPr>
              <w:t>including sponsorship seeking and negotiation;</w:t>
            </w:r>
          </w:p>
          <w:p w:rsidR="005362AD" w:rsidRPr="008C34DB" w:rsidRDefault="00CB7FC5" w:rsidP="00CB7FC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</w:t>
            </w:r>
            <w:r w:rsidRPr="00CB7FC5">
              <w:rPr>
                <w:rFonts w:ascii="Arial" w:hAnsi="Arial" w:cs="Arial"/>
                <w:sz w:val="22"/>
              </w:rPr>
              <w:t>ars featured in over 10 million copies of car magazines, and seen by over 70 million people on TV.</w:t>
            </w:r>
          </w:p>
        </w:tc>
      </w:tr>
      <w:tr w:rsidR="005362AD" w:rsidRPr="00606B1E" w:rsidTr="00236015">
        <w:tc>
          <w:tcPr>
            <w:tcW w:w="9990" w:type="dxa"/>
            <w:gridSpan w:val="5"/>
          </w:tcPr>
          <w:p w:rsidR="005362AD" w:rsidRPr="00CB7FC5" w:rsidRDefault="00CB7FC5" w:rsidP="005629D0">
            <w:pPr>
              <w:spacing w:line="276" w:lineRule="auto"/>
              <w:ind w:right="27"/>
              <w:rPr>
                <w:rFonts w:ascii="Arial" w:hAnsi="Arial" w:cs="Arial"/>
                <w:b/>
                <w:sz w:val="22"/>
                <w:u w:val="single"/>
              </w:rPr>
            </w:pPr>
            <w:r w:rsidRPr="00CB7FC5">
              <w:rPr>
                <w:rFonts w:ascii="Arial" w:hAnsi="Arial" w:cs="Arial"/>
                <w:b/>
                <w:sz w:val="22"/>
                <w:u w:val="single"/>
              </w:rPr>
              <w:t>November 1979 to October 1984</w:t>
            </w:r>
          </w:p>
        </w:tc>
      </w:tr>
      <w:tr w:rsidR="005362AD" w:rsidRPr="00606B1E" w:rsidTr="00236015">
        <w:tc>
          <w:tcPr>
            <w:tcW w:w="9990" w:type="dxa"/>
            <w:gridSpan w:val="5"/>
          </w:tcPr>
          <w:p w:rsidR="00CB7FC5" w:rsidRPr="00CB7FC5" w:rsidRDefault="00CB7FC5" w:rsidP="00CB7FC5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CB7FC5">
              <w:rPr>
                <w:rFonts w:ascii="Arial" w:hAnsi="Arial" w:cs="Arial"/>
                <w:sz w:val="22"/>
              </w:rPr>
              <w:t>Project Management Team - Various Job Titles - Conoco (U.K.) Limited - H</w:t>
            </w:r>
            <w:r>
              <w:rPr>
                <w:rFonts w:ascii="Arial" w:hAnsi="Arial" w:cs="Arial"/>
                <w:sz w:val="22"/>
              </w:rPr>
              <w:t xml:space="preserve">utton Field Development Project; </w:t>
            </w:r>
            <w:r w:rsidRPr="00CB7FC5">
              <w:rPr>
                <w:rFonts w:ascii="Arial" w:hAnsi="Arial" w:cs="Arial"/>
                <w:sz w:val="22"/>
              </w:rPr>
              <w:t>Resigned from Conoco following completion of Hutton Project and non-availability of s</w:t>
            </w:r>
            <w:r>
              <w:rPr>
                <w:rFonts w:ascii="Arial" w:hAnsi="Arial" w:cs="Arial"/>
                <w:sz w:val="22"/>
              </w:rPr>
              <w:t xml:space="preserve">imilar high-profile work within </w:t>
            </w:r>
            <w:r w:rsidRPr="00CB7FC5">
              <w:rPr>
                <w:rFonts w:ascii="Arial" w:hAnsi="Arial" w:cs="Arial"/>
                <w:sz w:val="22"/>
              </w:rPr>
              <w:t>the company.</w:t>
            </w:r>
          </w:p>
          <w:p w:rsidR="00CB7FC5" w:rsidRDefault="00CB7FC5" w:rsidP="00CB7FC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CB7FC5">
              <w:rPr>
                <w:rFonts w:ascii="Arial" w:hAnsi="Arial" w:cs="Arial"/>
                <w:sz w:val="22"/>
              </w:rPr>
              <w:t>Acted as Project Services Manager and, from time to time, Project Mana</w:t>
            </w:r>
            <w:r>
              <w:rPr>
                <w:rFonts w:ascii="Arial" w:hAnsi="Arial" w:cs="Arial"/>
                <w:sz w:val="22"/>
              </w:rPr>
              <w:t xml:space="preserve">ger on $1.3 billion development </w:t>
            </w:r>
            <w:r w:rsidRPr="00CB7FC5">
              <w:rPr>
                <w:rFonts w:ascii="Arial" w:hAnsi="Arial" w:cs="Arial"/>
                <w:sz w:val="22"/>
              </w:rPr>
              <w:t>project, latter with overall responsibility for entire project; responsible for 85-100 staff in former role, 800-</w:t>
            </w:r>
            <w:r>
              <w:rPr>
                <w:rFonts w:ascii="Arial" w:hAnsi="Arial" w:cs="Arial"/>
                <w:sz w:val="22"/>
              </w:rPr>
              <w:t>1,000 in latter,</w:t>
            </w:r>
          </w:p>
          <w:p w:rsidR="00CB7FC5" w:rsidRDefault="00CB7FC5" w:rsidP="00CB7FC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CB7FC5">
              <w:rPr>
                <w:rFonts w:ascii="Arial" w:hAnsi="Arial" w:cs="Arial"/>
                <w:sz w:val="22"/>
              </w:rPr>
              <w:lastRenderedPageBreak/>
              <w:t>directly responsible for all Project financial matters, in addition to direct responsibility for 9 Conoco and 30 contractor staff;</w:t>
            </w:r>
          </w:p>
          <w:p w:rsidR="00CB7FC5" w:rsidRDefault="00CB7FC5" w:rsidP="00CB7FC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CB7FC5">
              <w:rPr>
                <w:rFonts w:ascii="Arial" w:hAnsi="Arial" w:cs="Arial"/>
                <w:sz w:val="22"/>
              </w:rPr>
              <w:t>functional responsibility for all project contracts activity;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CB7FC5">
              <w:rPr>
                <w:rFonts w:ascii="Arial" w:hAnsi="Arial" w:cs="Arial"/>
                <w:sz w:val="22"/>
              </w:rPr>
              <w:t>negotiation and management of $60m insurance claim, including technical advice to Insurance Department,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CB7FC5">
              <w:rPr>
                <w:rFonts w:ascii="Arial" w:hAnsi="Arial" w:cs="Arial"/>
                <w:sz w:val="22"/>
              </w:rPr>
              <w:t>and negotiations with Contractor and Loss Adjusters;</w:t>
            </w:r>
          </w:p>
          <w:p w:rsidR="00CB7FC5" w:rsidRDefault="00CB7FC5" w:rsidP="00CB7FC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CB7FC5">
              <w:rPr>
                <w:rFonts w:ascii="Arial" w:hAnsi="Arial" w:cs="Arial"/>
                <w:sz w:val="22"/>
              </w:rPr>
              <w:t>corporate personnel involvement, including interviewing, selection &amp;c;</w:t>
            </w:r>
          </w:p>
          <w:p w:rsidR="00CB7FC5" w:rsidRDefault="00CB7FC5" w:rsidP="00CB7FC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CB7FC5">
              <w:rPr>
                <w:rFonts w:ascii="Arial" w:hAnsi="Arial" w:cs="Arial"/>
                <w:sz w:val="22"/>
              </w:rPr>
              <w:t>development of tax strategy for the project's PRT returns;</w:t>
            </w:r>
          </w:p>
          <w:p w:rsidR="00CB7FC5" w:rsidRDefault="00CB7FC5" w:rsidP="00CB7FC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CB7FC5">
              <w:rPr>
                <w:rFonts w:ascii="Arial" w:hAnsi="Arial" w:cs="Arial"/>
                <w:sz w:val="22"/>
              </w:rPr>
              <w:t>close involvement with corporate Legal and Treasury Divisions, with delegated responsibility (not normal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CB7FC5">
              <w:rPr>
                <w:rFonts w:ascii="Arial" w:hAnsi="Arial" w:cs="Arial"/>
                <w:sz w:val="22"/>
              </w:rPr>
              <w:t>corporate practice);</w:t>
            </w:r>
          </w:p>
          <w:p w:rsidR="00CB7FC5" w:rsidRDefault="00CB7FC5" w:rsidP="00CB7FC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CB7FC5">
              <w:rPr>
                <w:rFonts w:ascii="Arial" w:hAnsi="Arial" w:cs="Arial"/>
                <w:sz w:val="22"/>
              </w:rPr>
              <w:t>extended consultancy-type advice to Project and General Management;</w:t>
            </w:r>
          </w:p>
          <w:p w:rsidR="00CB7FC5" w:rsidRDefault="00CB7FC5" w:rsidP="00CB7FC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CB7FC5">
              <w:rPr>
                <w:rFonts w:ascii="Arial" w:hAnsi="Arial" w:cs="Arial"/>
                <w:sz w:val="22"/>
              </w:rPr>
              <w:t>wrote detailed engineering paper as key element of Conoco's 1984 application for the Queen's Award for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CB7FC5">
              <w:rPr>
                <w:rFonts w:ascii="Arial" w:hAnsi="Arial" w:cs="Arial"/>
                <w:sz w:val="22"/>
              </w:rPr>
              <w:t>Technological Achievement (awarded in 1985);</w:t>
            </w:r>
          </w:p>
          <w:p w:rsidR="00CB7FC5" w:rsidRDefault="00CB7FC5" w:rsidP="00CB7FC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CB7FC5">
              <w:rPr>
                <w:rFonts w:ascii="Arial" w:hAnsi="Arial" w:cs="Arial"/>
                <w:sz w:val="22"/>
              </w:rPr>
              <w:t>listed on special fast-track listing of top 12-20 Conoco employees (out of 85,000) worldwide; transferred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CB7FC5">
              <w:rPr>
                <w:rFonts w:ascii="Arial" w:hAnsi="Arial" w:cs="Arial"/>
                <w:sz w:val="22"/>
              </w:rPr>
              <w:t>onto Du Pont list post 1982 takeover of Conoco;</w:t>
            </w:r>
          </w:p>
          <w:p w:rsidR="005362AD" w:rsidRPr="00CB7FC5" w:rsidRDefault="00CB7FC5" w:rsidP="00CB7FC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3" w:right="27"/>
              <w:rPr>
                <w:rFonts w:ascii="Arial" w:hAnsi="Arial" w:cs="Arial"/>
                <w:sz w:val="22"/>
              </w:rPr>
            </w:pPr>
            <w:r w:rsidRPr="00CB7FC5">
              <w:rPr>
                <w:rFonts w:ascii="Arial" w:hAnsi="Arial" w:cs="Arial"/>
                <w:sz w:val="22"/>
              </w:rPr>
              <w:t>responsible in pre-project phase for planning the organisation and project control procedures; supervision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CB7FC5">
              <w:rPr>
                <w:rFonts w:ascii="Arial" w:hAnsi="Arial" w:cs="Arial"/>
                <w:sz w:val="22"/>
              </w:rPr>
              <w:t>directly over 6 professional staff, indirectly over 24 F&amp;A staff of the Project Services Contractor including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CB7FC5">
              <w:rPr>
                <w:rFonts w:ascii="Arial" w:hAnsi="Arial" w:cs="Arial"/>
                <w:sz w:val="22"/>
              </w:rPr>
              <w:t>planning the systems for cost, financial, contractual and administrative control of a $1.5 billion North Sea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CB7FC5">
              <w:rPr>
                <w:rFonts w:ascii="Arial" w:hAnsi="Arial" w:cs="Arial"/>
                <w:sz w:val="22"/>
              </w:rPr>
              <w:t>Development project;</w:t>
            </w:r>
          </w:p>
        </w:tc>
      </w:tr>
    </w:tbl>
    <w:p w:rsidR="008D6A62" w:rsidRPr="008D6A62" w:rsidRDefault="008D6A62">
      <w:pPr>
        <w:rPr>
          <w:rFonts w:ascii="Arial" w:hAnsi="Arial" w:cs="Arial"/>
          <w:szCs w:val="24"/>
        </w:rPr>
      </w:pPr>
    </w:p>
    <w:sectPr w:rsidR="008D6A62" w:rsidRPr="008D6A62" w:rsidSect="001006E6">
      <w:headerReference w:type="default" r:id="rId17"/>
      <w:footerReference w:type="default" r:id="rId18"/>
      <w:pgSz w:w="11907" w:h="16839" w:code="9"/>
      <w:pgMar w:top="720" w:right="1134" w:bottom="720" w:left="1985" w:header="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FB9" w:rsidRDefault="00052FB9" w:rsidP="008D6A62">
      <w:pPr>
        <w:spacing w:before="0" w:after="0" w:line="240" w:lineRule="auto"/>
      </w:pPr>
      <w:r>
        <w:separator/>
      </w:r>
    </w:p>
  </w:endnote>
  <w:endnote w:type="continuationSeparator" w:id="0">
    <w:p w:rsidR="00052FB9" w:rsidRDefault="00052FB9" w:rsidP="008D6A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7820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1006E6" w:rsidRPr="001006E6" w:rsidRDefault="001006E6" w:rsidP="001006E6">
        <w:pPr>
          <w:pStyle w:val="Footer"/>
          <w:ind w:left="-990"/>
          <w:jc w:val="center"/>
          <w:rPr>
            <w:rFonts w:ascii="Arial" w:hAnsi="Arial" w:cs="Arial"/>
            <w:sz w:val="22"/>
          </w:rPr>
        </w:pPr>
        <w:r w:rsidRPr="001006E6">
          <w:rPr>
            <w:rFonts w:ascii="Arial" w:hAnsi="Arial" w:cs="Arial"/>
            <w:sz w:val="22"/>
          </w:rPr>
          <w:fldChar w:fldCharType="begin"/>
        </w:r>
        <w:r w:rsidRPr="001006E6">
          <w:rPr>
            <w:rFonts w:ascii="Arial" w:hAnsi="Arial" w:cs="Arial"/>
            <w:sz w:val="22"/>
          </w:rPr>
          <w:instrText xml:space="preserve"> PAGE   \* MERGEFORMAT </w:instrText>
        </w:r>
        <w:r w:rsidRPr="001006E6">
          <w:rPr>
            <w:rFonts w:ascii="Arial" w:hAnsi="Arial" w:cs="Arial"/>
            <w:sz w:val="22"/>
          </w:rPr>
          <w:fldChar w:fldCharType="separate"/>
        </w:r>
        <w:r w:rsidR="001765C0">
          <w:rPr>
            <w:rFonts w:ascii="Arial" w:hAnsi="Arial" w:cs="Arial"/>
            <w:noProof/>
            <w:sz w:val="22"/>
          </w:rPr>
          <w:t>2</w:t>
        </w:r>
        <w:r w:rsidRPr="001006E6">
          <w:rPr>
            <w:rFonts w:ascii="Arial" w:hAnsi="Arial" w:cs="Arial"/>
            <w:noProof/>
            <w:sz w:val="22"/>
          </w:rPr>
          <w:fldChar w:fldCharType="end"/>
        </w:r>
      </w:p>
    </w:sdtContent>
  </w:sdt>
  <w:p w:rsidR="001006E6" w:rsidRDefault="00100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FB9" w:rsidRDefault="00052FB9" w:rsidP="008D6A62">
      <w:pPr>
        <w:spacing w:before="0" w:after="0" w:line="240" w:lineRule="auto"/>
      </w:pPr>
      <w:r>
        <w:separator/>
      </w:r>
    </w:p>
  </w:footnote>
  <w:footnote w:type="continuationSeparator" w:id="0">
    <w:p w:rsidR="00052FB9" w:rsidRDefault="00052FB9" w:rsidP="008D6A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A62" w:rsidRDefault="008D6A62" w:rsidP="008D6A62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90EAA"/>
    <w:multiLevelType w:val="hybridMultilevel"/>
    <w:tmpl w:val="8228D786"/>
    <w:lvl w:ilvl="0" w:tplc="37563AE2">
      <w:start w:val="1"/>
      <w:numFmt w:val="bullet"/>
      <w:lvlText w:val="+"/>
      <w:lvlJc w:val="left"/>
      <w:pPr>
        <w:ind w:left="70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" w15:restartNumberingAfterBreak="0">
    <w:nsid w:val="6B7F4293"/>
    <w:multiLevelType w:val="hybridMultilevel"/>
    <w:tmpl w:val="66BCD064"/>
    <w:lvl w:ilvl="0" w:tplc="37563AE2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459E9"/>
    <w:multiLevelType w:val="hybridMultilevel"/>
    <w:tmpl w:val="6CB6176A"/>
    <w:lvl w:ilvl="0" w:tplc="92AC5C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4E9"/>
    <w:rsid w:val="0000115A"/>
    <w:rsid w:val="00004C1B"/>
    <w:rsid w:val="0000599A"/>
    <w:rsid w:val="00014669"/>
    <w:rsid w:val="000202CF"/>
    <w:rsid w:val="00021A24"/>
    <w:rsid w:val="000269DB"/>
    <w:rsid w:val="00030BEA"/>
    <w:rsid w:val="00035386"/>
    <w:rsid w:val="0003742A"/>
    <w:rsid w:val="00037913"/>
    <w:rsid w:val="0004346A"/>
    <w:rsid w:val="0004353D"/>
    <w:rsid w:val="00050E6C"/>
    <w:rsid w:val="00052FB9"/>
    <w:rsid w:val="00056171"/>
    <w:rsid w:val="00056BC2"/>
    <w:rsid w:val="0005762D"/>
    <w:rsid w:val="0006723D"/>
    <w:rsid w:val="000732DF"/>
    <w:rsid w:val="00096897"/>
    <w:rsid w:val="00096DEC"/>
    <w:rsid w:val="000A62AE"/>
    <w:rsid w:val="000B05F1"/>
    <w:rsid w:val="000B1B24"/>
    <w:rsid w:val="000B4FB2"/>
    <w:rsid w:val="000B5935"/>
    <w:rsid w:val="000B62AD"/>
    <w:rsid w:val="000B6899"/>
    <w:rsid w:val="000C0E9B"/>
    <w:rsid w:val="000C1FDA"/>
    <w:rsid w:val="000C2DE6"/>
    <w:rsid w:val="000C63A2"/>
    <w:rsid w:val="000D6ADD"/>
    <w:rsid w:val="000D762A"/>
    <w:rsid w:val="000E677E"/>
    <w:rsid w:val="000F135E"/>
    <w:rsid w:val="000F176F"/>
    <w:rsid w:val="000F2911"/>
    <w:rsid w:val="000F5039"/>
    <w:rsid w:val="001006E6"/>
    <w:rsid w:val="001177E3"/>
    <w:rsid w:val="00126118"/>
    <w:rsid w:val="00127226"/>
    <w:rsid w:val="00147A0A"/>
    <w:rsid w:val="001507E7"/>
    <w:rsid w:val="00151B79"/>
    <w:rsid w:val="001566E8"/>
    <w:rsid w:val="00160C38"/>
    <w:rsid w:val="00161C59"/>
    <w:rsid w:val="0017013D"/>
    <w:rsid w:val="001710A0"/>
    <w:rsid w:val="00174667"/>
    <w:rsid w:val="001765C0"/>
    <w:rsid w:val="00184AE0"/>
    <w:rsid w:val="00184FC1"/>
    <w:rsid w:val="00187F35"/>
    <w:rsid w:val="0019388E"/>
    <w:rsid w:val="0019559C"/>
    <w:rsid w:val="001A50B3"/>
    <w:rsid w:val="001A688F"/>
    <w:rsid w:val="001B4193"/>
    <w:rsid w:val="001B73C5"/>
    <w:rsid w:val="001C2DEE"/>
    <w:rsid w:val="001D06F9"/>
    <w:rsid w:val="001D2651"/>
    <w:rsid w:val="001D4043"/>
    <w:rsid w:val="001D439C"/>
    <w:rsid w:val="001D4DDF"/>
    <w:rsid w:val="001D54F4"/>
    <w:rsid w:val="001E32DB"/>
    <w:rsid w:val="001E588E"/>
    <w:rsid w:val="001F04AA"/>
    <w:rsid w:val="001F0C99"/>
    <w:rsid w:val="00206094"/>
    <w:rsid w:val="00213F68"/>
    <w:rsid w:val="00220A6A"/>
    <w:rsid w:val="00223B38"/>
    <w:rsid w:val="00227E36"/>
    <w:rsid w:val="00230F48"/>
    <w:rsid w:val="002510AB"/>
    <w:rsid w:val="00256E87"/>
    <w:rsid w:val="002862CC"/>
    <w:rsid w:val="00286D65"/>
    <w:rsid w:val="0029323A"/>
    <w:rsid w:val="002944D2"/>
    <w:rsid w:val="0029455E"/>
    <w:rsid w:val="00297FEC"/>
    <w:rsid w:val="002A0B89"/>
    <w:rsid w:val="002A16A7"/>
    <w:rsid w:val="002A7BB9"/>
    <w:rsid w:val="002B2CF1"/>
    <w:rsid w:val="002B4E74"/>
    <w:rsid w:val="002C37CD"/>
    <w:rsid w:val="002E14FF"/>
    <w:rsid w:val="002E72F9"/>
    <w:rsid w:val="002F0965"/>
    <w:rsid w:val="002F2E7F"/>
    <w:rsid w:val="002F4AEE"/>
    <w:rsid w:val="002F78A4"/>
    <w:rsid w:val="0030301B"/>
    <w:rsid w:val="003067FD"/>
    <w:rsid w:val="00306E40"/>
    <w:rsid w:val="0031065C"/>
    <w:rsid w:val="00312A36"/>
    <w:rsid w:val="00324D25"/>
    <w:rsid w:val="00327323"/>
    <w:rsid w:val="00332918"/>
    <w:rsid w:val="00353943"/>
    <w:rsid w:val="00356A01"/>
    <w:rsid w:val="00356C2F"/>
    <w:rsid w:val="00362F12"/>
    <w:rsid w:val="00367418"/>
    <w:rsid w:val="00371182"/>
    <w:rsid w:val="0037141D"/>
    <w:rsid w:val="003839F5"/>
    <w:rsid w:val="0038560E"/>
    <w:rsid w:val="00385824"/>
    <w:rsid w:val="003872CD"/>
    <w:rsid w:val="003919BD"/>
    <w:rsid w:val="003954C5"/>
    <w:rsid w:val="003A6516"/>
    <w:rsid w:val="003A7143"/>
    <w:rsid w:val="003B1545"/>
    <w:rsid w:val="003B6471"/>
    <w:rsid w:val="003C52F5"/>
    <w:rsid w:val="003C6368"/>
    <w:rsid w:val="003D40B0"/>
    <w:rsid w:val="003D66CC"/>
    <w:rsid w:val="003D74E7"/>
    <w:rsid w:val="003F2F11"/>
    <w:rsid w:val="00400D06"/>
    <w:rsid w:val="00403DEB"/>
    <w:rsid w:val="00405796"/>
    <w:rsid w:val="00410C64"/>
    <w:rsid w:val="00412D99"/>
    <w:rsid w:val="0041543F"/>
    <w:rsid w:val="00416341"/>
    <w:rsid w:val="00416D02"/>
    <w:rsid w:val="00424A75"/>
    <w:rsid w:val="0042663F"/>
    <w:rsid w:val="00430325"/>
    <w:rsid w:val="004429F1"/>
    <w:rsid w:val="00442A1C"/>
    <w:rsid w:val="00442AC4"/>
    <w:rsid w:val="0044337E"/>
    <w:rsid w:val="0045040A"/>
    <w:rsid w:val="004559C6"/>
    <w:rsid w:val="004729D6"/>
    <w:rsid w:val="004802FB"/>
    <w:rsid w:val="00481198"/>
    <w:rsid w:val="00485B59"/>
    <w:rsid w:val="00485D0A"/>
    <w:rsid w:val="00487A05"/>
    <w:rsid w:val="00487DAA"/>
    <w:rsid w:val="00497352"/>
    <w:rsid w:val="004A510B"/>
    <w:rsid w:val="004A68FC"/>
    <w:rsid w:val="004A7585"/>
    <w:rsid w:val="004B7505"/>
    <w:rsid w:val="004B7934"/>
    <w:rsid w:val="004C3989"/>
    <w:rsid w:val="004C71D1"/>
    <w:rsid w:val="004E6BF1"/>
    <w:rsid w:val="004E6F38"/>
    <w:rsid w:val="004F28D6"/>
    <w:rsid w:val="004F61B9"/>
    <w:rsid w:val="00500804"/>
    <w:rsid w:val="0050356F"/>
    <w:rsid w:val="005046C3"/>
    <w:rsid w:val="0050731A"/>
    <w:rsid w:val="0051350D"/>
    <w:rsid w:val="005172F3"/>
    <w:rsid w:val="005344E9"/>
    <w:rsid w:val="0053515A"/>
    <w:rsid w:val="005362AD"/>
    <w:rsid w:val="00541B85"/>
    <w:rsid w:val="0055517A"/>
    <w:rsid w:val="00555192"/>
    <w:rsid w:val="00555536"/>
    <w:rsid w:val="0056064D"/>
    <w:rsid w:val="005629D0"/>
    <w:rsid w:val="005649FD"/>
    <w:rsid w:val="00564EB9"/>
    <w:rsid w:val="005911EC"/>
    <w:rsid w:val="00595D1D"/>
    <w:rsid w:val="005A5E31"/>
    <w:rsid w:val="005A630E"/>
    <w:rsid w:val="005B11CE"/>
    <w:rsid w:val="005B4CC9"/>
    <w:rsid w:val="005C3899"/>
    <w:rsid w:val="005C7C40"/>
    <w:rsid w:val="005D0A8B"/>
    <w:rsid w:val="005D2600"/>
    <w:rsid w:val="005E2EF7"/>
    <w:rsid w:val="005F18A1"/>
    <w:rsid w:val="006053D5"/>
    <w:rsid w:val="00605ED7"/>
    <w:rsid w:val="0061228A"/>
    <w:rsid w:val="00614776"/>
    <w:rsid w:val="00614890"/>
    <w:rsid w:val="006231B6"/>
    <w:rsid w:val="00623450"/>
    <w:rsid w:val="006317C7"/>
    <w:rsid w:val="00641481"/>
    <w:rsid w:val="00644506"/>
    <w:rsid w:val="0064524A"/>
    <w:rsid w:val="00645B08"/>
    <w:rsid w:val="0065736F"/>
    <w:rsid w:val="00660BE2"/>
    <w:rsid w:val="00664D15"/>
    <w:rsid w:val="0067215C"/>
    <w:rsid w:val="00687BDD"/>
    <w:rsid w:val="006970AB"/>
    <w:rsid w:val="006A1EBD"/>
    <w:rsid w:val="006A3606"/>
    <w:rsid w:val="006A3BBD"/>
    <w:rsid w:val="006B1678"/>
    <w:rsid w:val="006B2A40"/>
    <w:rsid w:val="006B742F"/>
    <w:rsid w:val="006D324E"/>
    <w:rsid w:val="006D4F7C"/>
    <w:rsid w:val="006D7598"/>
    <w:rsid w:val="006F1260"/>
    <w:rsid w:val="006F1F92"/>
    <w:rsid w:val="006F2DA5"/>
    <w:rsid w:val="006F4B1C"/>
    <w:rsid w:val="006F7CF8"/>
    <w:rsid w:val="00700A3A"/>
    <w:rsid w:val="00702D0E"/>
    <w:rsid w:val="00703C6B"/>
    <w:rsid w:val="00716B04"/>
    <w:rsid w:val="00726003"/>
    <w:rsid w:val="00751298"/>
    <w:rsid w:val="00751333"/>
    <w:rsid w:val="0075465E"/>
    <w:rsid w:val="00757BA2"/>
    <w:rsid w:val="007651AC"/>
    <w:rsid w:val="00776D0F"/>
    <w:rsid w:val="00780336"/>
    <w:rsid w:val="00781F71"/>
    <w:rsid w:val="007842C5"/>
    <w:rsid w:val="007A43F6"/>
    <w:rsid w:val="007A74E9"/>
    <w:rsid w:val="007B08BE"/>
    <w:rsid w:val="007B36D2"/>
    <w:rsid w:val="007B4EB9"/>
    <w:rsid w:val="007B4F84"/>
    <w:rsid w:val="007C13E0"/>
    <w:rsid w:val="007D31C7"/>
    <w:rsid w:val="007D5970"/>
    <w:rsid w:val="007E4BB5"/>
    <w:rsid w:val="007E511D"/>
    <w:rsid w:val="007E576E"/>
    <w:rsid w:val="007E60DB"/>
    <w:rsid w:val="007F04B0"/>
    <w:rsid w:val="007F19C9"/>
    <w:rsid w:val="007F26FF"/>
    <w:rsid w:val="0080451D"/>
    <w:rsid w:val="008115B7"/>
    <w:rsid w:val="00811837"/>
    <w:rsid w:val="008125C5"/>
    <w:rsid w:val="00817A60"/>
    <w:rsid w:val="00817CFB"/>
    <w:rsid w:val="00845D0B"/>
    <w:rsid w:val="00850DB0"/>
    <w:rsid w:val="00870309"/>
    <w:rsid w:val="00876F27"/>
    <w:rsid w:val="00877AB2"/>
    <w:rsid w:val="00877DE8"/>
    <w:rsid w:val="008805E3"/>
    <w:rsid w:val="008848AE"/>
    <w:rsid w:val="008853E3"/>
    <w:rsid w:val="008900E5"/>
    <w:rsid w:val="00895444"/>
    <w:rsid w:val="008977CA"/>
    <w:rsid w:val="008A00D3"/>
    <w:rsid w:val="008B1FE1"/>
    <w:rsid w:val="008B2015"/>
    <w:rsid w:val="008C34DB"/>
    <w:rsid w:val="008C3CBC"/>
    <w:rsid w:val="008C7DDB"/>
    <w:rsid w:val="008D45D9"/>
    <w:rsid w:val="008D6A62"/>
    <w:rsid w:val="008E292F"/>
    <w:rsid w:val="008E5706"/>
    <w:rsid w:val="008F0C25"/>
    <w:rsid w:val="008F35C5"/>
    <w:rsid w:val="00907F32"/>
    <w:rsid w:val="0091276A"/>
    <w:rsid w:val="009145D2"/>
    <w:rsid w:val="009158DD"/>
    <w:rsid w:val="00917DB6"/>
    <w:rsid w:val="00920F6F"/>
    <w:rsid w:val="0092326A"/>
    <w:rsid w:val="009278BC"/>
    <w:rsid w:val="00931732"/>
    <w:rsid w:val="00931CB6"/>
    <w:rsid w:val="00932C98"/>
    <w:rsid w:val="009403D3"/>
    <w:rsid w:val="009431CD"/>
    <w:rsid w:val="009456FD"/>
    <w:rsid w:val="0095145A"/>
    <w:rsid w:val="009606D9"/>
    <w:rsid w:val="009617BD"/>
    <w:rsid w:val="00964E8D"/>
    <w:rsid w:val="00967CC6"/>
    <w:rsid w:val="00974BAC"/>
    <w:rsid w:val="00976309"/>
    <w:rsid w:val="00981BE9"/>
    <w:rsid w:val="00984B0C"/>
    <w:rsid w:val="009900F6"/>
    <w:rsid w:val="00990727"/>
    <w:rsid w:val="009A140E"/>
    <w:rsid w:val="009A1F87"/>
    <w:rsid w:val="009A4C7F"/>
    <w:rsid w:val="009A7418"/>
    <w:rsid w:val="009B122B"/>
    <w:rsid w:val="009B124D"/>
    <w:rsid w:val="009C2E13"/>
    <w:rsid w:val="009D3B96"/>
    <w:rsid w:val="009D3DAC"/>
    <w:rsid w:val="009D4400"/>
    <w:rsid w:val="009D59E9"/>
    <w:rsid w:val="009E1355"/>
    <w:rsid w:val="009E5605"/>
    <w:rsid w:val="009F12EC"/>
    <w:rsid w:val="009F362B"/>
    <w:rsid w:val="00A00CBB"/>
    <w:rsid w:val="00A05C9A"/>
    <w:rsid w:val="00A07C72"/>
    <w:rsid w:val="00A11A2A"/>
    <w:rsid w:val="00A134EF"/>
    <w:rsid w:val="00A17E37"/>
    <w:rsid w:val="00A252E8"/>
    <w:rsid w:val="00A43B30"/>
    <w:rsid w:val="00A479B9"/>
    <w:rsid w:val="00A52979"/>
    <w:rsid w:val="00A529B8"/>
    <w:rsid w:val="00A54859"/>
    <w:rsid w:val="00A55AB1"/>
    <w:rsid w:val="00A6332A"/>
    <w:rsid w:val="00A6798C"/>
    <w:rsid w:val="00A7451C"/>
    <w:rsid w:val="00A83EBE"/>
    <w:rsid w:val="00A92FF9"/>
    <w:rsid w:val="00A930E6"/>
    <w:rsid w:val="00AA1B0A"/>
    <w:rsid w:val="00AA476E"/>
    <w:rsid w:val="00AB1B8F"/>
    <w:rsid w:val="00AB2DE6"/>
    <w:rsid w:val="00AB6D46"/>
    <w:rsid w:val="00AC2EAF"/>
    <w:rsid w:val="00AC3505"/>
    <w:rsid w:val="00AC4159"/>
    <w:rsid w:val="00AC426F"/>
    <w:rsid w:val="00AD6DDD"/>
    <w:rsid w:val="00AD7EFF"/>
    <w:rsid w:val="00AD7FB2"/>
    <w:rsid w:val="00AE0CD5"/>
    <w:rsid w:val="00AE10B7"/>
    <w:rsid w:val="00AE3442"/>
    <w:rsid w:val="00AE42E7"/>
    <w:rsid w:val="00AE5D5D"/>
    <w:rsid w:val="00AE6943"/>
    <w:rsid w:val="00AF0F0A"/>
    <w:rsid w:val="00AF1B02"/>
    <w:rsid w:val="00AF661E"/>
    <w:rsid w:val="00B00787"/>
    <w:rsid w:val="00B07555"/>
    <w:rsid w:val="00B103CF"/>
    <w:rsid w:val="00B113AF"/>
    <w:rsid w:val="00B23479"/>
    <w:rsid w:val="00B23E11"/>
    <w:rsid w:val="00B25B3D"/>
    <w:rsid w:val="00B3663B"/>
    <w:rsid w:val="00B40964"/>
    <w:rsid w:val="00B4586D"/>
    <w:rsid w:val="00B45CF2"/>
    <w:rsid w:val="00B55369"/>
    <w:rsid w:val="00B6244B"/>
    <w:rsid w:val="00B62A2B"/>
    <w:rsid w:val="00B66CC8"/>
    <w:rsid w:val="00B67428"/>
    <w:rsid w:val="00B67E16"/>
    <w:rsid w:val="00B8219D"/>
    <w:rsid w:val="00B82E12"/>
    <w:rsid w:val="00B87AAB"/>
    <w:rsid w:val="00B9532D"/>
    <w:rsid w:val="00BA2715"/>
    <w:rsid w:val="00BB3F1F"/>
    <w:rsid w:val="00BC0F76"/>
    <w:rsid w:val="00BC2CC2"/>
    <w:rsid w:val="00BD351B"/>
    <w:rsid w:val="00BE142F"/>
    <w:rsid w:val="00BE4C0F"/>
    <w:rsid w:val="00BE5D22"/>
    <w:rsid w:val="00BE6D16"/>
    <w:rsid w:val="00BF52F3"/>
    <w:rsid w:val="00BF55C9"/>
    <w:rsid w:val="00C05ABB"/>
    <w:rsid w:val="00C10DA8"/>
    <w:rsid w:val="00C316C0"/>
    <w:rsid w:val="00C41A55"/>
    <w:rsid w:val="00C42815"/>
    <w:rsid w:val="00C44169"/>
    <w:rsid w:val="00C447E2"/>
    <w:rsid w:val="00C4507A"/>
    <w:rsid w:val="00C5003C"/>
    <w:rsid w:val="00C62357"/>
    <w:rsid w:val="00C648A6"/>
    <w:rsid w:val="00C66524"/>
    <w:rsid w:val="00C67CCD"/>
    <w:rsid w:val="00C706D5"/>
    <w:rsid w:val="00C72B56"/>
    <w:rsid w:val="00C74D78"/>
    <w:rsid w:val="00C75374"/>
    <w:rsid w:val="00C844EA"/>
    <w:rsid w:val="00C84904"/>
    <w:rsid w:val="00C8682C"/>
    <w:rsid w:val="00CA4861"/>
    <w:rsid w:val="00CB7FC5"/>
    <w:rsid w:val="00CC09B1"/>
    <w:rsid w:val="00CC3643"/>
    <w:rsid w:val="00CC5382"/>
    <w:rsid w:val="00CD53A1"/>
    <w:rsid w:val="00CE056C"/>
    <w:rsid w:val="00CF2DCE"/>
    <w:rsid w:val="00D028AA"/>
    <w:rsid w:val="00D03508"/>
    <w:rsid w:val="00D03E16"/>
    <w:rsid w:val="00D0447E"/>
    <w:rsid w:val="00D067FB"/>
    <w:rsid w:val="00D27B54"/>
    <w:rsid w:val="00D42524"/>
    <w:rsid w:val="00D45D55"/>
    <w:rsid w:val="00D524D5"/>
    <w:rsid w:val="00D528C5"/>
    <w:rsid w:val="00D574DD"/>
    <w:rsid w:val="00D57791"/>
    <w:rsid w:val="00D61B15"/>
    <w:rsid w:val="00D62AAE"/>
    <w:rsid w:val="00D62ECA"/>
    <w:rsid w:val="00D65DCE"/>
    <w:rsid w:val="00D73A6F"/>
    <w:rsid w:val="00D82864"/>
    <w:rsid w:val="00D90DD8"/>
    <w:rsid w:val="00D95D09"/>
    <w:rsid w:val="00D96E23"/>
    <w:rsid w:val="00D970E7"/>
    <w:rsid w:val="00DA1C30"/>
    <w:rsid w:val="00DA69E6"/>
    <w:rsid w:val="00DB2FF5"/>
    <w:rsid w:val="00DB3892"/>
    <w:rsid w:val="00DB539F"/>
    <w:rsid w:val="00DC2BAF"/>
    <w:rsid w:val="00DC5946"/>
    <w:rsid w:val="00DD01F1"/>
    <w:rsid w:val="00DD2D46"/>
    <w:rsid w:val="00DD36CC"/>
    <w:rsid w:val="00DE03A6"/>
    <w:rsid w:val="00DE2B26"/>
    <w:rsid w:val="00DE304C"/>
    <w:rsid w:val="00DE63DD"/>
    <w:rsid w:val="00DF05EC"/>
    <w:rsid w:val="00DF12E1"/>
    <w:rsid w:val="00E01C16"/>
    <w:rsid w:val="00E01C68"/>
    <w:rsid w:val="00E043D5"/>
    <w:rsid w:val="00E06AC3"/>
    <w:rsid w:val="00E1209C"/>
    <w:rsid w:val="00E14F4D"/>
    <w:rsid w:val="00E1782E"/>
    <w:rsid w:val="00E21641"/>
    <w:rsid w:val="00E255CB"/>
    <w:rsid w:val="00E33E4D"/>
    <w:rsid w:val="00E34098"/>
    <w:rsid w:val="00E345BC"/>
    <w:rsid w:val="00E45789"/>
    <w:rsid w:val="00E54E8D"/>
    <w:rsid w:val="00E8666D"/>
    <w:rsid w:val="00E86B73"/>
    <w:rsid w:val="00E91BA0"/>
    <w:rsid w:val="00E9264E"/>
    <w:rsid w:val="00E95461"/>
    <w:rsid w:val="00EA013D"/>
    <w:rsid w:val="00EA198F"/>
    <w:rsid w:val="00EA315E"/>
    <w:rsid w:val="00EA3586"/>
    <w:rsid w:val="00EA5A9F"/>
    <w:rsid w:val="00EA5F1F"/>
    <w:rsid w:val="00EA6973"/>
    <w:rsid w:val="00EA770C"/>
    <w:rsid w:val="00EB3284"/>
    <w:rsid w:val="00EB3511"/>
    <w:rsid w:val="00EB515A"/>
    <w:rsid w:val="00EC54A0"/>
    <w:rsid w:val="00EC7DB9"/>
    <w:rsid w:val="00ED61F7"/>
    <w:rsid w:val="00EE2AF5"/>
    <w:rsid w:val="00EE40FD"/>
    <w:rsid w:val="00EE7F2A"/>
    <w:rsid w:val="00EF1409"/>
    <w:rsid w:val="00EF16FB"/>
    <w:rsid w:val="00EF1E34"/>
    <w:rsid w:val="00EF2D3D"/>
    <w:rsid w:val="00EF39D7"/>
    <w:rsid w:val="00F05E78"/>
    <w:rsid w:val="00F07E82"/>
    <w:rsid w:val="00F1134E"/>
    <w:rsid w:val="00F145B5"/>
    <w:rsid w:val="00F14699"/>
    <w:rsid w:val="00F168C6"/>
    <w:rsid w:val="00F16F7B"/>
    <w:rsid w:val="00F1764C"/>
    <w:rsid w:val="00F17AA3"/>
    <w:rsid w:val="00F25EE9"/>
    <w:rsid w:val="00F2779C"/>
    <w:rsid w:val="00F33375"/>
    <w:rsid w:val="00F33A8A"/>
    <w:rsid w:val="00F405FE"/>
    <w:rsid w:val="00F511B3"/>
    <w:rsid w:val="00F52229"/>
    <w:rsid w:val="00F54135"/>
    <w:rsid w:val="00F555CC"/>
    <w:rsid w:val="00F56D1F"/>
    <w:rsid w:val="00F61F9D"/>
    <w:rsid w:val="00F625E5"/>
    <w:rsid w:val="00F64F8A"/>
    <w:rsid w:val="00F661A7"/>
    <w:rsid w:val="00F91012"/>
    <w:rsid w:val="00F93FAA"/>
    <w:rsid w:val="00FA3519"/>
    <w:rsid w:val="00FA44AB"/>
    <w:rsid w:val="00FA67DB"/>
    <w:rsid w:val="00FC00C3"/>
    <w:rsid w:val="00FC1CE0"/>
    <w:rsid w:val="00FC6F14"/>
    <w:rsid w:val="00FD1774"/>
    <w:rsid w:val="00FE3F2D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7E76B"/>
  <w15:chartTrackingRefBased/>
  <w15:docId w15:val="{B462D20B-6C8A-4FA9-8DC0-09B6FACF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63B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6D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6A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A6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D6A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A62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F5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AF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2950</Words>
  <Characters>16820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viao</dc:creator>
  <cp:keywords/>
  <dc:description/>
  <cp:lastModifiedBy>VIAC</cp:lastModifiedBy>
  <cp:revision>5</cp:revision>
  <cp:lastPrinted>2018-10-03T04:32:00Z</cp:lastPrinted>
  <dcterms:created xsi:type="dcterms:W3CDTF">2018-09-27T08:50:00Z</dcterms:created>
  <dcterms:modified xsi:type="dcterms:W3CDTF">2020-02-20T03:53:00Z</dcterms:modified>
</cp:coreProperties>
</file>